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94A" w:rsidRDefault="008C594A" w:rsidP="008C594A">
      <w:pPr>
        <w:spacing w:line="312" w:lineRule="auto"/>
        <w:jc w:val="center"/>
        <w:rPr>
          <w:rFonts w:ascii="Tahoma" w:hAnsi="Tahoma" w:cs="Tahoma"/>
          <w:b/>
          <w:sz w:val="28"/>
          <w:lang w:val="fr-CA"/>
        </w:rPr>
      </w:pPr>
      <w:r>
        <w:rPr>
          <w:rFonts w:ascii="Tahoma" w:hAnsi="Tahoma" w:cs="Tahoma"/>
          <w:b/>
          <w:sz w:val="28"/>
          <w:lang w:val="fr-CA"/>
        </w:rPr>
        <w:t>Les pathologies de l’intestin grêle</w:t>
      </w:r>
    </w:p>
    <w:p w:rsidR="008C594A" w:rsidRDefault="008C594A" w:rsidP="008C594A">
      <w:pPr>
        <w:pBdr>
          <w:bottom w:val="single" w:sz="4" w:space="1" w:color="auto"/>
        </w:pBdr>
        <w:spacing w:line="312" w:lineRule="auto"/>
        <w:jc w:val="center"/>
        <w:rPr>
          <w:rFonts w:ascii="Tahoma" w:hAnsi="Tahoma" w:cs="Tahoma"/>
          <w:sz w:val="24"/>
          <w:lang w:val="fr-CA"/>
        </w:rPr>
      </w:pPr>
      <w:r>
        <w:rPr>
          <w:rFonts w:ascii="Tahoma" w:hAnsi="Tahoma" w:cs="Tahoma"/>
          <w:sz w:val="24"/>
          <w:lang w:val="fr-CA"/>
        </w:rPr>
        <w:t>Tristan St-Jean-Gamache</w:t>
      </w:r>
    </w:p>
    <w:p w:rsidR="008C594A" w:rsidRDefault="008C594A" w:rsidP="008C594A">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8C594A" w:rsidRDefault="008C594A" w:rsidP="008C594A">
      <w:pPr>
        <w:pBdr>
          <w:bottom w:val="single" w:sz="4" w:space="1" w:color="auto"/>
        </w:pBdr>
        <w:spacing w:line="312" w:lineRule="auto"/>
        <w:jc w:val="center"/>
        <w:rPr>
          <w:rFonts w:ascii="Tahoma" w:hAnsi="Tahoma" w:cs="Tahoma"/>
          <w:sz w:val="24"/>
          <w:lang w:val="fr-CA"/>
        </w:rPr>
        <w:sectPr w:rsidR="008C594A">
          <w:pgSz w:w="12240" w:h="15840"/>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20"/>
          <w:vAlign w:val="center"/>
        </w:sectPr>
      </w:pPr>
      <w:r>
        <w:rPr>
          <w:rFonts w:ascii="Tahoma" w:hAnsi="Tahoma" w:cs="Tahoma"/>
          <w:sz w:val="24"/>
          <w:lang w:val="fr-CA"/>
        </w:rPr>
        <w:t>Faculté de médecine de l’Université Laval</w:t>
      </w:r>
    </w:p>
    <w:p w:rsidR="008C594A" w:rsidRDefault="008B5B53" w:rsidP="008C594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PATHOLOGIES INFLAMMATOIRES</w:t>
      </w:r>
    </w:p>
    <w:p w:rsidR="00931EF8" w:rsidRDefault="002C1B14" w:rsidP="002C1B14">
      <w:pPr>
        <w:spacing w:line="300" w:lineRule="auto"/>
        <w:jc w:val="both"/>
        <w:rPr>
          <w:rFonts w:ascii="Tahoma" w:hAnsi="Tahoma" w:cs="Tahoma"/>
          <w:lang w:val="fr-CA"/>
        </w:rPr>
      </w:pPr>
      <w:r w:rsidRPr="002C1B14">
        <w:rPr>
          <w:rFonts w:ascii="Tahoma" w:hAnsi="Tahoma" w:cs="Tahoma"/>
          <w:lang w:val="fr-CA"/>
        </w:rPr>
        <w:t>La maladie cœliaque est une maladie intestinale chronique</w:t>
      </w:r>
      <w:r>
        <w:rPr>
          <w:rFonts w:ascii="Tahoma" w:hAnsi="Tahoma" w:cs="Tahoma"/>
          <w:lang w:val="fr-CA"/>
        </w:rPr>
        <w:t xml:space="preserve"> due à une </w:t>
      </w:r>
      <w:r w:rsidR="00F76E88">
        <w:rPr>
          <w:rFonts w:ascii="Tahoma" w:hAnsi="Tahoma" w:cs="Tahoma"/>
          <w:lang w:val="fr-CA"/>
        </w:rPr>
        <w:t>intolérance à la gliadine</w:t>
      </w:r>
      <w:r w:rsidRPr="002C1B14">
        <w:rPr>
          <w:rFonts w:ascii="Tahoma" w:hAnsi="Tahoma" w:cs="Tahoma"/>
          <w:lang w:val="fr-CA"/>
        </w:rPr>
        <w:t>.</w:t>
      </w:r>
      <w:r>
        <w:rPr>
          <w:rFonts w:ascii="Tahoma" w:hAnsi="Tahoma" w:cs="Tahoma"/>
          <w:lang w:val="fr-CA"/>
        </w:rPr>
        <w:t xml:space="preserve"> Elle est aussi appelée </w:t>
      </w:r>
      <w:r w:rsidRPr="002C1B14">
        <w:rPr>
          <w:rFonts w:ascii="Tahoma" w:hAnsi="Tahoma" w:cs="Tahoma"/>
          <w:color w:val="0070C0"/>
          <w:lang w:val="fr-CA"/>
        </w:rPr>
        <w:t>sprue</w:t>
      </w:r>
      <w:r w:rsidR="00F76E88">
        <w:rPr>
          <w:rFonts w:ascii="Tahoma" w:hAnsi="Tahoma" w:cs="Tahoma"/>
          <w:lang w:val="fr-CA"/>
        </w:rPr>
        <w:t xml:space="preserve"> non </w:t>
      </w:r>
      <w:r>
        <w:rPr>
          <w:rFonts w:ascii="Tahoma" w:hAnsi="Tahoma" w:cs="Tahoma"/>
          <w:lang w:val="fr-CA"/>
        </w:rPr>
        <w:t>tropicale, caractérisée par</w:t>
      </w:r>
      <w:r w:rsidRPr="002C1B14">
        <w:rPr>
          <w:rFonts w:ascii="Tahoma" w:hAnsi="Tahoma" w:cs="Tahoma"/>
          <w:lang w:val="fr-CA"/>
        </w:rPr>
        <w:t xml:space="preserve"> une diarrhée chronique, un</w:t>
      </w:r>
      <w:r>
        <w:rPr>
          <w:rFonts w:ascii="Tahoma" w:hAnsi="Tahoma" w:cs="Tahoma"/>
          <w:lang w:val="fr-CA"/>
        </w:rPr>
        <w:t>e glossite</w:t>
      </w:r>
      <w:r>
        <w:rPr>
          <w:rStyle w:val="Appelnotedebasdep"/>
          <w:rFonts w:ascii="Tahoma" w:hAnsi="Tahoma" w:cs="Tahoma"/>
          <w:lang w:val="fr-CA"/>
        </w:rPr>
        <w:footnoteReference w:id="1"/>
      </w:r>
      <w:r>
        <w:rPr>
          <w:rFonts w:ascii="Tahoma" w:hAnsi="Tahoma" w:cs="Tahoma"/>
          <w:lang w:val="fr-CA"/>
        </w:rPr>
        <w:t xml:space="preserve"> et une anémie. La prévalence de cette maladie augmente. La présence du marqueur HLA-DQ2 ou DQ8 est essentielle à la manifestation de la maladie cœliaque. Le diagnostic se fait au moyen des </w:t>
      </w:r>
      <w:r w:rsidRPr="00D43687">
        <w:rPr>
          <w:rFonts w:ascii="Tahoma" w:hAnsi="Tahoma" w:cs="Tahoma"/>
          <w:color w:val="0070C0"/>
          <w:lang w:val="fr-CA"/>
        </w:rPr>
        <w:t>anticorps anti-</w:t>
      </w:r>
      <w:proofErr w:type="spellStart"/>
      <w:r w:rsidRPr="00D43687">
        <w:rPr>
          <w:rFonts w:ascii="Tahoma" w:hAnsi="Tahoma" w:cs="Tahoma"/>
          <w:color w:val="0070C0"/>
          <w:lang w:val="fr-CA"/>
        </w:rPr>
        <w:t>transglutaminases</w:t>
      </w:r>
      <w:proofErr w:type="spellEnd"/>
      <w:r w:rsidRPr="00D43687">
        <w:rPr>
          <w:rFonts w:ascii="Tahoma" w:hAnsi="Tahoma" w:cs="Tahoma"/>
          <w:color w:val="0070C0"/>
          <w:lang w:val="fr-CA"/>
        </w:rPr>
        <w:t xml:space="preserve"> </w:t>
      </w:r>
      <w:r>
        <w:rPr>
          <w:rFonts w:ascii="Tahoma" w:hAnsi="Tahoma" w:cs="Tahoma"/>
          <w:lang w:val="fr-CA"/>
        </w:rPr>
        <w:t xml:space="preserve">et de la </w:t>
      </w:r>
      <w:r w:rsidRPr="00D43687">
        <w:rPr>
          <w:rFonts w:ascii="Tahoma" w:hAnsi="Tahoma" w:cs="Tahoma"/>
          <w:color w:val="0070C0"/>
          <w:lang w:val="fr-CA"/>
        </w:rPr>
        <w:t>biopsie duodénale</w:t>
      </w:r>
      <w:r>
        <w:rPr>
          <w:rFonts w:ascii="Tahoma" w:hAnsi="Tahoma" w:cs="Tahoma"/>
          <w:lang w:val="fr-CA"/>
        </w:rPr>
        <w:t xml:space="preserve">, qui détecte l’atrophie </w:t>
      </w:r>
      <w:proofErr w:type="spellStart"/>
      <w:r>
        <w:rPr>
          <w:rFonts w:ascii="Tahoma" w:hAnsi="Tahoma" w:cs="Tahoma"/>
          <w:lang w:val="fr-CA"/>
        </w:rPr>
        <w:t>villositaire</w:t>
      </w:r>
      <w:proofErr w:type="spellEnd"/>
      <w:r>
        <w:rPr>
          <w:rFonts w:ascii="Tahoma" w:hAnsi="Tahoma" w:cs="Tahoma"/>
          <w:lang w:val="fr-CA"/>
        </w:rPr>
        <w:t>. Le patient sera dans un état de dénutrition</w:t>
      </w:r>
      <w:r w:rsidR="0020728E">
        <w:rPr>
          <w:rFonts w:ascii="Tahoma" w:hAnsi="Tahoma" w:cs="Tahoma"/>
          <w:lang w:val="fr-CA"/>
        </w:rPr>
        <w:t>.</w:t>
      </w:r>
    </w:p>
    <w:p w:rsidR="0020728E" w:rsidRDefault="0020728E" w:rsidP="002C1B14">
      <w:pPr>
        <w:spacing w:line="300" w:lineRule="auto"/>
        <w:jc w:val="both"/>
        <w:rPr>
          <w:rFonts w:ascii="Tahoma" w:hAnsi="Tahoma" w:cs="Tahoma"/>
          <w:lang w:val="fr-CA"/>
        </w:rPr>
      </w:pPr>
      <w:r>
        <w:rPr>
          <w:rFonts w:ascii="Tahoma" w:hAnsi="Tahoma" w:cs="Tahoma"/>
          <w:lang w:val="fr-CA"/>
        </w:rPr>
        <w:t>À l’histologie, on peut constater de l’</w:t>
      </w:r>
      <w:r>
        <w:rPr>
          <w:rFonts w:ascii="Tahoma" w:hAnsi="Tahoma" w:cs="Tahoma"/>
          <w:color w:val="0070C0"/>
          <w:lang w:val="fr-CA"/>
        </w:rPr>
        <w:t xml:space="preserve">atrophie </w:t>
      </w:r>
      <w:proofErr w:type="spellStart"/>
      <w:r>
        <w:rPr>
          <w:rFonts w:ascii="Tahoma" w:hAnsi="Tahoma" w:cs="Tahoma"/>
          <w:color w:val="0070C0"/>
          <w:lang w:val="fr-CA"/>
        </w:rPr>
        <w:t>villositaire</w:t>
      </w:r>
      <w:proofErr w:type="spellEnd"/>
      <w:r w:rsidRPr="0020728E">
        <w:rPr>
          <w:rFonts w:ascii="Tahoma" w:hAnsi="Tahoma" w:cs="Tahoma"/>
          <w:lang w:val="fr-CA"/>
        </w:rPr>
        <w:t xml:space="preserve">, c’est-à-dire une destruction des microvillosités gastriques, </w:t>
      </w:r>
      <w:r>
        <w:rPr>
          <w:rFonts w:ascii="Tahoma" w:hAnsi="Tahoma" w:cs="Tahoma"/>
          <w:lang w:val="fr-CA"/>
        </w:rPr>
        <w:t>et de l’</w:t>
      </w:r>
      <w:r w:rsidRPr="0020728E">
        <w:rPr>
          <w:rFonts w:ascii="Tahoma" w:hAnsi="Tahoma" w:cs="Tahoma"/>
          <w:color w:val="0070C0"/>
          <w:lang w:val="fr-CA"/>
        </w:rPr>
        <w:t>hypertrophie cryptique</w:t>
      </w:r>
      <w:r>
        <w:rPr>
          <w:rFonts w:ascii="Tahoma" w:hAnsi="Tahoma" w:cs="Tahoma"/>
          <w:lang w:val="fr-CA"/>
        </w:rPr>
        <w:t>.</w:t>
      </w:r>
    </w:p>
    <w:p w:rsidR="0020728E" w:rsidRDefault="0020728E" w:rsidP="002C1B14">
      <w:pPr>
        <w:spacing w:line="300" w:lineRule="auto"/>
        <w:jc w:val="both"/>
        <w:rPr>
          <w:rFonts w:ascii="Tahoma" w:hAnsi="Tahoma" w:cs="Tahoma"/>
          <w:lang w:val="fr-CA"/>
        </w:rPr>
      </w:pPr>
      <w:r>
        <w:rPr>
          <w:rFonts w:ascii="Tahoma" w:hAnsi="Tahoma" w:cs="Tahoma"/>
          <w:lang w:val="fr-CA"/>
        </w:rPr>
        <w:t>Le traitement de la maladie cœliaque se fait avec une diète sans gluten. Il faut exclure le seigle, l’avoine, le blé et l’orge. Le riz, le maïs et le soya peuvent être utilisés pour compenser. L’usage de vitamines est aussi conseillé.</w:t>
      </w:r>
    </w:p>
    <w:p w:rsidR="0020728E" w:rsidRDefault="0020728E" w:rsidP="002C1B14">
      <w:pPr>
        <w:spacing w:line="300" w:lineRule="auto"/>
        <w:jc w:val="both"/>
        <w:rPr>
          <w:rFonts w:ascii="Tahoma" w:hAnsi="Tahoma" w:cs="Tahoma"/>
          <w:lang w:val="fr-CA"/>
        </w:rPr>
      </w:pPr>
      <w:r>
        <w:rPr>
          <w:rFonts w:ascii="Tahoma" w:hAnsi="Tahoma" w:cs="Tahoma"/>
          <w:lang w:val="fr-CA"/>
        </w:rPr>
        <w:t xml:space="preserve">Parmi les complications de la maladie cœliaque, on retrouve des cas réfractaires, l’ulcération, la sténose, la perforation et un risque plus élevé de </w:t>
      </w:r>
      <w:proofErr w:type="gramStart"/>
      <w:r>
        <w:rPr>
          <w:rFonts w:ascii="Tahoma" w:hAnsi="Tahoma" w:cs="Tahoma"/>
          <w:lang w:val="fr-CA"/>
        </w:rPr>
        <w:t>néoplasie maligne</w:t>
      </w:r>
      <w:proofErr w:type="gramEnd"/>
      <w:r>
        <w:rPr>
          <w:rFonts w:ascii="Tahoma" w:hAnsi="Tahoma" w:cs="Tahoma"/>
          <w:lang w:val="fr-CA"/>
        </w:rPr>
        <w:t>, particulièrement de l’un des types suivants :</w:t>
      </w:r>
    </w:p>
    <w:p w:rsidR="0020728E" w:rsidRDefault="00F76E88" w:rsidP="0020728E">
      <w:pPr>
        <w:pStyle w:val="Paragraphedeliste"/>
        <w:numPr>
          <w:ilvl w:val="0"/>
          <w:numId w:val="1"/>
        </w:numPr>
        <w:spacing w:line="300" w:lineRule="auto"/>
        <w:jc w:val="both"/>
        <w:rPr>
          <w:rFonts w:ascii="Tahoma" w:hAnsi="Tahoma" w:cs="Tahoma"/>
          <w:lang w:val="fr-CA"/>
        </w:rPr>
      </w:pPr>
      <w:r>
        <w:rPr>
          <w:rFonts w:ascii="Tahoma" w:hAnsi="Tahoma" w:cs="Tahoma"/>
          <w:lang w:val="fr-CA"/>
        </w:rPr>
        <w:t>Lymphome</w:t>
      </w:r>
      <w:r w:rsidR="0020728E">
        <w:rPr>
          <w:rFonts w:ascii="Tahoma" w:hAnsi="Tahoma" w:cs="Tahoma"/>
          <w:lang w:val="fr-CA"/>
        </w:rPr>
        <w:t xml:space="preserve"> ;</w:t>
      </w:r>
    </w:p>
    <w:p w:rsidR="0020728E" w:rsidRDefault="0020728E" w:rsidP="0020728E">
      <w:pPr>
        <w:pStyle w:val="Paragraphedeliste"/>
        <w:numPr>
          <w:ilvl w:val="0"/>
          <w:numId w:val="1"/>
        </w:numPr>
        <w:spacing w:line="300" w:lineRule="auto"/>
        <w:jc w:val="both"/>
        <w:rPr>
          <w:rFonts w:ascii="Tahoma" w:hAnsi="Tahoma" w:cs="Tahoma"/>
          <w:lang w:val="fr-CA"/>
        </w:rPr>
      </w:pPr>
      <w:r>
        <w:rPr>
          <w:rFonts w:ascii="Tahoma" w:hAnsi="Tahoma" w:cs="Tahoma"/>
          <w:lang w:val="fr-CA"/>
        </w:rPr>
        <w:t>Cancer épidermoïde de l’œsophage ;</w:t>
      </w:r>
    </w:p>
    <w:p w:rsidR="0020728E" w:rsidRDefault="0020728E" w:rsidP="0020728E">
      <w:pPr>
        <w:pStyle w:val="Paragraphedeliste"/>
        <w:numPr>
          <w:ilvl w:val="0"/>
          <w:numId w:val="1"/>
        </w:numPr>
        <w:spacing w:line="300" w:lineRule="auto"/>
        <w:jc w:val="both"/>
        <w:rPr>
          <w:rFonts w:ascii="Tahoma" w:hAnsi="Tahoma" w:cs="Tahoma"/>
          <w:lang w:val="fr-CA"/>
        </w:rPr>
      </w:pPr>
      <w:r>
        <w:rPr>
          <w:rFonts w:ascii="Tahoma" w:hAnsi="Tahoma" w:cs="Tahoma"/>
          <w:lang w:val="fr-CA"/>
        </w:rPr>
        <w:t>Adénocarcinome de l’intestin grêle.</w:t>
      </w:r>
    </w:p>
    <w:p w:rsidR="0020728E" w:rsidRDefault="0020728E" w:rsidP="0020728E">
      <w:pPr>
        <w:spacing w:line="300" w:lineRule="auto"/>
        <w:jc w:val="both"/>
        <w:rPr>
          <w:rFonts w:ascii="Tahoma" w:hAnsi="Tahoma" w:cs="Tahoma"/>
          <w:lang w:val="fr-CA"/>
        </w:rPr>
      </w:pPr>
      <w:r>
        <w:rPr>
          <w:rFonts w:ascii="Tahoma" w:hAnsi="Tahoma" w:cs="Tahoma"/>
          <w:lang w:val="fr-CA"/>
        </w:rPr>
        <w:br w:type="page"/>
      </w:r>
    </w:p>
    <w:p w:rsidR="0020728E" w:rsidRDefault="0020728E" w:rsidP="00F76E88">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PATHOLOGIES TUMORALES</w:t>
      </w:r>
    </w:p>
    <w:p w:rsidR="00600E40" w:rsidRDefault="00600E40" w:rsidP="0020728E">
      <w:pPr>
        <w:spacing w:line="300" w:lineRule="auto"/>
        <w:jc w:val="both"/>
        <w:rPr>
          <w:rFonts w:ascii="Tahoma" w:hAnsi="Tahoma" w:cs="Tahoma"/>
          <w:lang w:val="fr-CA"/>
        </w:rPr>
      </w:pPr>
      <w:r>
        <w:rPr>
          <w:rFonts w:ascii="Tahoma" w:hAnsi="Tahoma" w:cs="Tahoma"/>
          <w:lang w:val="fr-CA"/>
        </w:rPr>
        <w:t>Les tumeurs de l’intestin grêle sont rares et constituent moins de 2 % des néoplasies gastro-intestinales.</w:t>
      </w:r>
      <w:r w:rsidR="00AC57BF">
        <w:rPr>
          <w:rFonts w:ascii="Tahoma" w:hAnsi="Tahoma" w:cs="Tahoma"/>
          <w:lang w:val="fr-CA"/>
        </w:rPr>
        <w:t xml:space="preserve"> </w:t>
      </w:r>
      <w:r>
        <w:rPr>
          <w:rFonts w:ascii="Tahoma" w:hAnsi="Tahoma" w:cs="Tahoma"/>
          <w:lang w:val="fr-CA"/>
        </w:rPr>
        <w:t>Les 4 types les plus fréquents de tumeurs malignes de l’intestin grêle sont les adénocarcinomes, les carcinoïdes</w:t>
      </w:r>
      <w:r>
        <w:rPr>
          <w:rStyle w:val="Appelnotedebasdep"/>
          <w:rFonts w:ascii="Tahoma" w:hAnsi="Tahoma" w:cs="Tahoma"/>
          <w:lang w:val="fr-CA"/>
        </w:rPr>
        <w:footnoteReference w:id="2"/>
      </w:r>
      <w:r>
        <w:rPr>
          <w:rFonts w:ascii="Tahoma" w:hAnsi="Tahoma" w:cs="Tahoma"/>
          <w:lang w:val="fr-CA"/>
        </w:rPr>
        <w:t>, les lymphomes et les sarcomes</w:t>
      </w:r>
      <w:r>
        <w:rPr>
          <w:rStyle w:val="Appelnotedebasdep"/>
          <w:rFonts w:ascii="Tahoma" w:hAnsi="Tahoma" w:cs="Tahoma"/>
          <w:lang w:val="fr-CA"/>
        </w:rPr>
        <w:footnoteReference w:id="3"/>
      </w:r>
      <w:r>
        <w:rPr>
          <w:rFonts w:ascii="Tahoma" w:hAnsi="Tahoma" w:cs="Tahoma"/>
          <w:lang w:val="fr-CA"/>
        </w:rPr>
        <w:t xml:space="preserve"> (incluant le GIST).</w:t>
      </w:r>
    </w:p>
    <w:p w:rsidR="00600E40" w:rsidRDefault="00600E40" w:rsidP="0020728E">
      <w:pPr>
        <w:spacing w:line="300" w:lineRule="auto"/>
        <w:jc w:val="both"/>
        <w:rPr>
          <w:rFonts w:ascii="Tahoma" w:hAnsi="Tahoma" w:cs="Tahoma"/>
          <w:lang w:val="fr-CA"/>
        </w:rPr>
      </w:pPr>
      <w:r>
        <w:rPr>
          <w:rFonts w:ascii="Tahoma" w:hAnsi="Tahoma" w:cs="Tahoma"/>
          <w:lang w:val="fr-CA"/>
        </w:rPr>
        <w:t xml:space="preserve">Les manifestations cliniques des tumeurs de l’intestin grêle sont </w:t>
      </w:r>
      <w:r w:rsidRPr="00735E7D">
        <w:rPr>
          <w:rFonts w:ascii="Tahoma" w:hAnsi="Tahoma" w:cs="Tahoma"/>
          <w:color w:val="0070C0"/>
          <w:lang w:val="fr-CA"/>
        </w:rPr>
        <w:t xml:space="preserve">relatives à la localisation </w:t>
      </w:r>
      <w:proofErr w:type="gramStart"/>
      <w:r>
        <w:rPr>
          <w:rFonts w:ascii="Tahoma" w:hAnsi="Tahoma" w:cs="Tahoma"/>
          <w:lang w:val="fr-CA"/>
        </w:rPr>
        <w:t>de la néoplasie</w:t>
      </w:r>
      <w:proofErr w:type="gramEnd"/>
      <w:r>
        <w:rPr>
          <w:rFonts w:ascii="Tahoma" w:hAnsi="Tahoma" w:cs="Tahoma"/>
          <w:lang w:val="fr-CA"/>
        </w:rPr>
        <w:t xml:space="preserve">. Lorsque la tumeur est dans le duodénum, on retrouve des douleurs abdominales </w:t>
      </w:r>
      <w:proofErr w:type="spellStart"/>
      <w:r>
        <w:rPr>
          <w:rFonts w:ascii="Tahoma" w:hAnsi="Tahoma" w:cs="Tahoma"/>
          <w:lang w:val="fr-CA"/>
        </w:rPr>
        <w:t>crampiformes</w:t>
      </w:r>
      <w:proofErr w:type="spellEnd"/>
      <w:r>
        <w:rPr>
          <w:rFonts w:ascii="Tahoma" w:hAnsi="Tahoma" w:cs="Tahoma"/>
          <w:lang w:val="fr-CA"/>
        </w:rPr>
        <w:t xml:space="preserve"> et une obstruction intestinale. Lorsque la tumeur est dans le jéjunum ou dans l’iléon, les symptômes sont peu spécifiques : il peut y avoir une </w:t>
      </w:r>
      <w:proofErr w:type="spellStart"/>
      <w:r>
        <w:rPr>
          <w:rFonts w:ascii="Tahoma" w:hAnsi="Tahoma" w:cs="Tahoma"/>
          <w:lang w:val="fr-CA"/>
        </w:rPr>
        <w:t>sub</w:t>
      </w:r>
      <w:proofErr w:type="spellEnd"/>
      <w:r>
        <w:rPr>
          <w:rFonts w:ascii="Tahoma" w:hAnsi="Tahoma" w:cs="Tahoma"/>
          <w:lang w:val="fr-CA"/>
        </w:rPr>
        <w:noBreakHyphen/>
        <w:t>occlusion (obstruction partielle des intestins) et/ou une distension abdominale.</w:t>
      </w:r>
      <w:r w:rsidR="00735E7D">
        <w:rPr>
          <w:rFonts w:ascii="Tahoma" w:hAnsi="Tahoma" w:cs="Tahoma"/>
          <w:lang w:val="fr-CA"/>
        </w:rPr>
        <w:t xml:space="preserve"> En cas d’obstruction intestinale, il peut aussi y avoir sténose ou intussusception (invagination intestinale), cas dans lequel la tumeur serait entraînée par le péristaltisme.</w:t>
      </w:r>
    </w:p>
    <w:p w:rsidR="00735E7D" w:rsidRDefault="00735E7D" w:rsidP="0020728E">
      <w:pPr>
        <w:spacing w:line="300" w:lineRule="auto"/>
        <w:jc w:val="both"/>
        <w:rPr>
          <w:rFonts w:ascii="Tahoma" w:hAnsi="Tahoma" w:cs="Tahoma"/>
          <w:lang w:val="fr-CA"/>
        </w:rPr>
      </w:pPr>
      <w:r>
        <w:rPr>
          <w:rFonts w:ascii="Tahoma" w:hAnsi="Tahoma" w:cs="Tahoma"/>
          <w:lang w:val="fr-CA"/>
        </w:rPr>
        <w:t xml:space="preserve">Les manifestations cliniques des tumeurs de l’intestin grêle sont une </w:t>
      </w:r>
      <w:r w:rsidRPr="00735E7D">
        <w:rPr>
          <w:rFonts w:ascii="Tahoma" w:hAnsi="Tahoma" w:cs="Tahoma"/>
          <w:color w:val="0070C0"/>
          <w:lang w:val="fr-CA"/>
        </w:rPr>
        <w:t>anémie ferriprive</w:t>
      </w:r>
      <w:r>
        <w:rPr>
          <w:rFonts w:ascii="Tahoma" w:hAnsi="Tahoma" w:cs="Tahoma"/>
          <w:lang w:val="fr-CA"/>
        </w:rPr>
        <w:t>, surtout dans les cas de GIST et de léiomyome, et une masse palpable – chez 25 % des patients. Les perforations, la perte de poids, l’hémorragie massive et le syndrome carcinoïde peuvent être rencontrés, mais sont plutôt rares.</w:t>
      </w:r>
    </w:p>
    <w:p w:rsidR="00735E7D" w:rsidRDefault="00735E7D" w:rsidP="0020728E">
      <w:pPr>
        <w:spacing w:line="300" w:lineRule="auto"/>
        <w:jc w:val="both"/>
        <w:rPr>
          <w:rFonts w:ascii="Tahoma" w:hAnsi="Tahoma" w:cs="Tahoma"/>
          <w:lang w:val="fr-CA"/>
        </w:rPr>
      </w:pPr>
      <w:r>
        <w:rPr>
          <w:rFonts w:ascii="Tahoma" w:hAnsi="Tahoma" w:cs="Tahoma"/>
          <w:lang w:val="fr-CA"/>
        </w:rPr>
        <w:t>Le diagnostic des tumeurs du grêle se fait par les moyens suivants :</w:t>
      </w:r>
    </w:p>
    <w:p w:rsidR="00AC57BF" w:rsidRDefault="00AC57BF" w:rsidP="00735E7D">
      <w:pPr>
        <w:pStyle w:val="Paragraphedeliste"/>
        <w:numPr>
          <w:ilvl w:val="0"/>
          <w:numId w:val="2"/>
        </w:numPr>
        <w:spacing w:line="300" w:lineRule="auto"/>
        <w:jc w:val="both"/>
        <w:rPr>
          <w:rFonts w:ascii="Tahoma" w:hAnsi="Tahoma" w:cs="Tahoma"/>
          <w:lang w:val="fr-CA"/>
        </w:rPr>
        <w:sectPr w:rsidR="00AC57BF" w:rsidSect="00F8757B">
          <w:headerReference w:type="default" r:id="rId8"/>
          <w:pgSz w:w="12240" w:h="15840"/>
          <w:pgMar w:top="1440" w:right="1800" w:bottom="1440" w:left="1800" w:header="708" w:footer="708" w:gutter="0"/>
          <w:pgNumType w:fmt="upperRoman" w:start="1"/>
          <w:cols w:space="708"/>
          <w:docGrid w:linePitch="360"/>
        </w:sectPr>
      </w:pPr>
    </w:p>
    <w:p w:rsidR="00735E7D" w:rsidRDefault="00735E7D"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lastRenderedPageBreak/>
        <w:t>Transit de l’intestin grêle ;</w:t>
      </w:r>
    </w:p>
    <w:p w:rsidR="00735E7D" w:rsidRDefault="00F76E88"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t>E</w:t>
      </w:r>
      <w:r w:rsidR="00735E7D">
        <w:rPr>
          <w:rFonts w:ascii="Tahoma" w:hAnsi="Tahoma" w:cs="Tahoma"/>
          <w:lang w:val="fr-CA"/>
        </w:rPr>
        <w:t>ntéro-IRM ;</w:t>
      </w:r>
    </w:p>
    <w:p w:rsidR="00735E7D" w:rsidRDefault="00735E7D"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t>Vidéocapsule ;</w:t>
      </w:r>
    </w:p>
    <w:p w:rsidR="00735E7D" w:rsidRDefault="00735E7D"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lastRenderedPageBreak/>
        <w:t xml:space="preserve">Écho-endoscopie </w:t>
      </w:r>
      <w:r w:rsidR="00AC57BF">
        <w:rPr>
          <w:rFonts w:ascii="Tahoma" w:hAnsi="Tahoma" w:cs="Tahoma"/>
          <w:lang w:val="fr-CA"/>
        </w:rPr>
        <w:t>duodénale</w:t>
      </w:r>
      <w:r>
        <w:rPr>
          <w:rFonts w:ascii="Tahoma" w:hAnsi="Tahoma" w:cs="Tahoma"/>
          <w:lang w:val="fr-CA"/>
        </w:rPr>
        <w:t xml:space="preserve"> ;</w:t>
      </w:r>
    </w:p>
    <w:p w:rsidR="00735E7D" w:rsidRDefault="00735E7D"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t>Endoscopie à double ballon ;</w:t>
      </w:r>
    </w:p>
    <w:p w:rsidR="00735E7D" w:rsidRDefault="00735E7D" w:rsidP="00735E7D">
      <w:pPr>
        <w:pStyle w:val="Paragraphedeliste"/>
        <w:numPr>
          <w:ilvl w:val="0"/>
          <w:numId w:val="2"/>
        </w:numPr>
        <w:spacing w:line="300" w:lineRule="auto"/>
        <w:jc w:val="both"/>
        <w:rPr>
          <w:rFonts w:ascii="Tahoma" w:hAnsi="Tahoma" w:cs="Tahoma"/>
          <w:lang w:val="fr-CA"/>
        </w:rPr>
      </w:pPr>
      <w:r>
        <w:rPr>
          <w:rFonts w:ascii="Tahoma" w:hAnsi="Tahoma" w:cs="Tahoma"/>
          <w:lang w:val="fr-CA"/>
        </w:rPr>
        <w:t>Tomodensitométrie.</w:t>
      </w:r>
    </w:p>
    <w:p w:rsidR="00AC57BF" w:rsidRDefault="00AC57BF" w:rsidP="00AC57BF">
      <w:pPr>
        <w:spacing w:line="300" w:lineRule="auto"/>
        <w:jc w:val="both"/>
        <w:rPr>
          <w:rFonts w:ascii="Tahoma" w:hAnsi="Tahoma" w:cs="Tahoma"/>
          <w:lang w:val="fr-CA"/>
        </w:rPr>
        <w:sectPr w:rsidR="00AC57BF" w:rsidSect="00AC57BF">
          <w:type w:val="continuous"/>
          <w:pgSz w:w="12240" w:h="15840"/>
          <w:pgMar w:top="1440" w:right="1800" w:bottom="1440" w:left="1800" w:header="708" w:footer="708" w:gutter="0"/>
          <w:cols w:num="2" w:space="708"/>
          <w:docGrid w:linePitch="360"/>
        </w:sectPr>
      </w:pPr>
    </w:p>
    <w:p w:rsidR="00AC57BF" w:rsidRDefault="00AC57BF" w:rsidP="00AC57BF">
      <w:pPr>
        <w:spacing w:line="300" w:lineRule="auto"/>
        <w:jc w:val="both"/>
        <w:rPr>
          <w:rFonts w:ascii="Tahoma" w:hAnsi="Tahoma" w:cs="Tahoma"/>
          <w:lang w:val="fr-CA"/>
        </w:rPr>
      </w:pPr>
      <w:r>
        <w:rPr>
          <w:rFonts w:ascii="Tahoma" w:hAnsi="Tahoma" w:cs="Tahoma"/>
          <w:lang w:val="fr-CA"/>
        </w:rPr>
        <w:lastRenderedPageBreak/>
        <w:t xml:space="preserve">Le traitement des tumeurs bénignes se fait par résection chirurgicale ; elle peut être endoscopique pour les tumeurs duodénales. Le traitement des tumeurs malignes se fait par </w:t>
      </w:r>
      <w:r w:rsidRPr="00AC57BF">
        <w:rPr>
          <w:rFonts w:ascii="Tahoma" w:hAnsi="Tahoma" w:cs="Tahoma"/>
          <w:color w:val="0070C0"/>
          <w:lang w:val="fr-CA"/>
        </w:rPr>
        <w:t xml:space="preserve">résection chirurgicale </w:t>
      </w:r>
      <w:r>
        <w:rPr>
          <w:rFonts w:ascii="Tahoma" w:hAnsi="Tahoma" w:cs="Tahoma"/>
          <w:lang w:val="fr-CA"/>
        </w:rPr>
        <w:t xml:space="preserve">et par </w:t>
      </w:r>
      <w:r w:rsidRPr="00AC57BF">
        <w:rPr>
          <w:rFonts w:ascii="Tahoma" w:hAnsi="Tahoma" w:cs="Tahoma"/>
          <w:color w:val="0070C0"/>
          <w:lang w:val="fr-CA"/>
        </w:rPr>
        <w:t>chimiothérapie</w:t>
      </w:r>
      <w:r>
        <w:rPr>
          <w:rFonts w:ascii="Tahoma" w:hAnsi="Tahoma" w:cs="Tahoma"/>
          <w:lang w:val="fr-CA"/>
        </w:rPr>
        <w:t>. Le pronostic de l’adénocarcinome est mauvais, avec une survie à 5 ans de 25 %.</w:t>
      </w:r>
    </w:p>
    <w:p w:rsidR="00AC57BF" w:rsidRDefault="00AC57BF" w:rsidP="00AC57BF">
      <w:pPr>
        <w:spacing w:line="300" w:lineRule="auto"/>
        <w:jc w:val="both"/>
        <w:rPr>
          <w:rFonts w:ascii="Tahoma" w:hAnsi="Tahoma" w:cs="Tahoma"/>
          <w:lang w:val="fr-CA"/>
        </w:rPr>
      </w:pPr>
      <w:r>
        <w:rPr>
          <w:rFonts w:ascii="Tahoma" w:hAnsi="Tahoma" w:cs="Tahoma"/>
          <w:lang w:val="fr-CA"/>
        </w:rPr>
        <w:t xml:space="preserve">La tumeur carcinoïde origine des </w:t>
      </w:r>
      <w:r w:rsidR="00E45D35">
        <w:rPr>
          <w:rFonts w:ascii="Tahoma" w:hAnsi="Tahoma" w:cs="Tahoma"/>
          <w:color w:val="0070C0"/>
          <w:lang w:val="fr-CA"/>
        </w:rPr>
        <w:t>cellules neuro</w:t>
      </w:r>
      <w:r w:rsidRPr="00AC57BF">
        <w:rPr>
          <w:rFonts w:ascii="Tahoma" w:hAnsi="Tahoma" w:cs="Tahoma"/>
          <w:color w:val="0070C0"/>
          <w:lang w:val="fr-CA"/>
        </w:rPr>
        <w:t>endocrines</w:t>
      </w:r>
      <w:r>
        <w:rPr>
          <w:rFonts w:ascii="Tahoma" w:hAnsi="Tahoma" w:cs="Tahoma"/>
          <w:lang w:val="fr-CA"/>
        </w:rPr>
        <w:t>. Elle peut être partout dans le tractus digestif, mais l’iléon est le site le plus fréquemment atteint. Il y a possibilité de sécréter des amines bioactives (</w:t>
      </w:r>
      <w:proofErr w:type="spellStart"/>
      <w:r>
        <w:rPr>
          <w:rFonts w:ascii="Tahoma" w:hAnsi="Tahoma" w:cs="Tahoma"/>
          <w:lang w:val="fr-CA"/>
        </w:rPr>
        <w:t>vasopeptides</w:t>
      </w:r>
      <w:proofErr w:type="spellEnd"/>
      <w:r>
        <w:rPr>
          <w:rFonts w:ascii="Tahoma" w:hAnsi="Tahoma" w:cs="Tahoma"/>
          <w:lang w:val="fr-CA"/>
        </w:rPr>
        <w:t xml:space="preserve">), mais si le drainage veineux est portal, ces amines seront détruites au foie. La forme de la tumeur peut être sporadique ou familiale, comme dans le cas des </w:t>
      </w:r>
      <w:r w:rsidRPr="00AC57BF">
        <w:rPr>
          <w:rFonts w:ascii="Tahoma" w:hAnsi="Tahoma" w:cs="Tahoma"/>
          <w:lang w:val="fr-CA"/>
        </w:rPr>
        <w:t>anomalie</w:t>
      </w:r>
      <w:r>
        <w:rPr>
          <w:rFonts w:ascii="Tahoma" w:hAnsi="Tahoma" w:cs="Tahoma"/>
          <w:lang w:val="fr-CA"/>
        </w:rPr>
        <w:t>s</w:t>
      </w:r>
      <w:r w:rsidRPr="00AC57BF">
        <w:rPr>
          <w:rFonts w:ascii="Tahoma" w:hAnsi="Tahoma" w:cs="Tahoma"/>
          <w:lang w:val="fr-CA"/>
        </w:rPr>
        <w:t xml:space="preserve"> de développement du tissu ectodermique</w:t>
      </w:r>
      <w:r>
        <w:rPr>
          <w:rFonts w:ascii="Tahoma" w:hAnsi="Tahoma" w:cs="Tahoma"/>
          <w:lang w:val="fr-CA"/>
        </w:rPr>
        <w:t xml:space="preserve"> (neurofibromatose ou maladie de Von </w:t>
      </w:r>
      <w:proofErr w:type="spellStart"/>
      <w:r>
        <w:rPr>
          <w:rFonts w:ascii="Tahoma" w:hAnsi="Tahoma" w:cs="Tahoma"/>
          <w:lang w:val="fr-CA"/>
        </w:rPr>
        <w:t>Hippel</w:t>
      </w:r>
      <w:proofErr w:type="spellEnd"/>
      <w:r>
        <w:rPr>
          <w:rFonts w:ascii="Tahoma" w:hAnsi="Tahoma" w:cs="Tahoma"/>
          <w:lang w:val="fr-CA"/>
        </w:rPr>
        <w:t>-Lindau).</w:t>
      </w:r>
    </w:p>
    <w:p w:rsidR="00E45D35" w:rsidRDefault="00AC57BF" w:rsidP="00AC57BF">
      <w:pPr>
        <w:spacing w:line="300" w:lineRule="auto"/>
        <w:jc w:val="both"/>
        <w:rPr>
          <w:rFonts w:ascii="Tahoma" w:hAnsi="Tahoma" w:cs="Tahoma"/>
          <w:lang w:val="fr-CA"/>
        </w:rPr>
      </w:pPr>
      <w:r>
        <w:rPr>
          <w:rFonts w:ascii="Tahoma" w:hAnsi="Tahoma" w:cs="Tahoma"/>
          <w:lang w:val="fr-CA"/>
        </w:rPr>
        <w:lastRenderedPageBreak/>
        <w:t xml:space="preserve">Les manifestations cliniques de la tumeur carcinoïde </w:t>
      </w:r>
      <w:r w:rsidR="00E45D35">
        <w:rPr>
          <w:rFonts w:ascii="Tahoma" w:hAnsi="Tahoma" w:cs="Tahoma"/>
          <w:lang w:val="fr-CA"/>
        </w:rPr>
        <w:t xml:space="preserve">peuvent inclure des inconforts, des douleurs abdominales, de l’anémie, des saignements et une obstruction (par la tumeur, par intussusception ou par réaction de fibrose mésentérique). Ce type de tumeur est </w:t>
      </w:r>
      <w:r w:rsidR="00E45D35" w:rsidRPr="00E45D35">
        <w:rPr>
          <w:rFonts w:ascii="Tahoma" w:hAnsi="Tahoma" w:cs="Tahoma"/>
          <w:color w:val="0070C0"/>
          <w:lang w:val="fr-CA"/>
        </w:rPr>
        <w:t>souvent asymptomatique</w:t>
      </w:r>
      <w:r w:rsidR="00E45D35">
        <w:rPr>
          <w:rFonts w:ascii="Tahoma" w:hAnsi="Tahoma" w:cs="Tahoma"/>
          <w:lang w:val="fr-CA"/>
        </w:rPr>
        <w:t xml:space="preserve">. </w:t>
      </w:r>
    </w:p>
    <w:p w:rsidR="00E45D35" w:rsidRDefault="00E45D35" w:rsidP="00AC57BF">
      <w:pPr>
        <w:spacing w:line="300" w:lineRule="auto"/>
        <w:jc w:val="both"/>
        <w:rPr>
          <w:rFonts w:ascii="Tahoma" w:hAnsi="Tahoma" w:cs="Tahoma"/>
          <w:lang w:val="fr-CA"/>
        </w:rPr>
      </w:pPr>
      <w:r>
        <w:rPr>
          <w:rFonts w:ascii="Tahoma" w:hAnsi="Tahoma" w:cs="Tahoma"/>
          <w:lang w:val="fr-CA"/>
        </w:rPr>
        <w:t xml:space="preserve">Dans 10 % des cas de tumeur carcinoïde, il y aura un </w:t>
      </w:r>
      <w:r w:rsidRPr="00E45D35">
        <w:rPr>
          <w:rFonts w:ascii="Tahoma" w:hAnsi="Tahoma" w:cs="Tahoma"/>
          <w:color w:val="0070C0"/>
          <w:lang w:val="fr-CA"/>
        </w:rPr>
        <w:t>syndrome carcinoïde</w:t>
      </w:r>
      <w:r>
        <w:rPr>
          <w:rFonts w:ascii="Tahoma" w:hAnsi="Tahoma" w:cs="Tahoma"/>
          <w:lang w:val="fr-CA"/>
        </w:rPr>
        <w:t>. Ce syndrome requiert la présence de métastases hépatiques ou d’une tumeur primaire extra</w:t>
      </w:r>
      <w:r>
        <w:rPr>
          <w:rFonts w:ascii="Tahoma" w:hAnsi="Tahoma" w:cs="Tahoma"/>
          <w:lang w:val="fr-CA"/>
        </w:rPr>
        <w:noBreakHyphen/>
        <w:t>digestive (poumons ou ovaires, par exemple). Il est causé par le largage de produits bioactifs et peut être contrôlé avec des antagonistes de la sérotonine ou de l’histamine. Les symptômes du syndrome carcinoïde incluent :</w:t>
      </w:r>
    </w:p>
    <w:p w:rsidR="00A145AA" w:rsidRDefault="00A145AA" w:rsidP="00E45D35">
      <w:pPr>
        <w:pStyle w:val="Paragraphedeliste"/>
        <w:numPr>
          <w:ilvl w:val="0"/>
          <w:numId w:val="3"/>
        </w:numPr>
        <w:spacing w:line="300" w:lineRule="auto"/>
        <w:jc w:val="both"/>
        <w:rPr>
          <w:rFonts w:ascii="Tahoma" w:hAnsi="Tahoma" w:cs="Tahoma"/>
          <w:lang w:val="fr-CA"/>
        </w:rPr>
        <w:sectPr w:rsidR="00A145AA" w:rsidSect="00F8757B">
          <w:type w:val="continuous"/>
          <w:pgSz w:w="12240" w:h="15840"/>
          <w:pgMar w:top="1440" w:right="1800" w:bottom="1440" w:left="1800" w:header="708" w:footer="708" w:gutter="0"/>
          <w:pgNumType w:fmt="upperRoman"/>
          <w:cols w:space="708"/>
          <w:docGrid w:linePitch="360"/>
        </w:sectPr>
      </w:pPr>
    </w:p>
    <w:p w:rsidR="00E45D35" w:rsidRDefault="00E45D35"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lastRenderedPageBreak/>
        <w:t>Diarrhées aqueuses ;</w:t>
      </w:r>
    </w:p>
    <w:p w:rsidR="00E45D35" w:rsidRDefault="00E45D35"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t>Stéatorrhée</w:t>
      </w:r>
      <w:r>
        <w:rPr>
          <w:rStyle w:val="Appelnotedebasdep"/>
          <w:rFonts w:ascii="Tahoma" w:hAnsi="Tahoma" w:cs="Tahoma"/>
          <w:lang w:val="fr-CA"/>
        </w:rPr>
        <w:footnoteReference w:id="4"/>
      </w:r>
      <w:r>
        <w:rPr>
          <w:rFonts w:ascii="Tahoma" w:hAnsi="Tahoma" w:cs="Tahoma"/>
          <w:lang w:val="fr-CA"/>
        </w:rPr>
        <w:t xml:space="preserve"> ;</w:t>
      </w:r>
    </w:p>
    <w:p w:rsidR="00E45D35" w:rsidRDefault="00E45D35"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t>Bouffées vasomotrices ;</w:t>
      </w:r>
    </w:p>
    <w:p w:rsidR="00E45D35" w:rsidRDefault="00E45D35" w:rsidP="00E45D35">
      <w:pPr>
        <w:pStyle w:val="Paragraphedeliste"/>
        <w:numPr>
          <w:ilvl w:val="0"/>
          <w:numId w:val="3"/>
        </w:numPr>
        <w:spacing w:line="300" w:lineRule="auto"/>
        <w:jc w:val="both"/>
        <w:rPr>
          <w:rFonts w:ascii="Tahoma" w:hAnsi="Tahoma" w:cs="Tahoma"/>
          <w:lang w:val="fr-CA"/>
        </w:rPr>
      </w:pPr>
      <w:proofErr w:type="spellStart"/>
      <w:r>
        <w:rPr>
          <w:rFonts w:ascii="Tahoma" w:hAnsi="Tahoma" w:cs="Tahoma"/>
          <w:lang w:val="fr-CA"/>
        </w:rPr>
        <w:t>Flushing</w:t>
      </w:r>
      <w:proofErr w:type="spellEnd"/>
      <w:r w:rsidR="00A145AA">
        <w:rPr>
          <w:rStyle w:val="Appelnotedebasdep"/>
          <w:rFonts w:ascii="Tahoma" w:hAnsi="Tahoma" w:cs="Tahoma"/>
          <w:lang w:val="fr-CA"/>
        </w:rPr>
        <w:footnoteReference w:id="5"/>
      </w:r>
      <w:r w:rsidR="00A145AA">
        <w:rPr>
          <w:rFonts w:ascii="Tahoma" w:hAnsi="Tahoma" w:cs="Tahoma"/>
          <w:lang w:val="fr-CA"/>
        </w:rPr>
        <w:t xml:space="preserve"> ;</w:t>
      </w:r>
    </w:p>
    <w:p w:rsidR="00A145AA" w:rsidRDefault="00A145AA"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t>Palpitations ;</w:t>
      </w:r>
    </w:p>
    <w:p w:rsidR="00A145AA" w:rsidRDefault="00A145AA"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lastRenderedPageBreak/>
        <w:t>Bronchoconstriction ;</w:t>
      </w:r>
    </w:p>
    <w:p w:rsidR="00A145AA" w:rsidRDefault="00A145AA" w:rsidP="00E45D35">
      <w:pPr>
        <w:pStyle w:val="Paragraphedeliste"/>
        <w:numPr>
          <w:ilvl w:val="0"/>
          <w:numId w:val="3"/>
        </w:numPr>
        <w:spacing w:line="300" w:lineRule="auto"/>
        <w:jc w:val="both"/>
        <w:rPr>
          <w:rFonts w:ascii="Tahoma" w:hAnsi="Tahoma" w:cs="Tahoma"/>
          <w:lang w:val="fr-CA"/>
        </w:rPr>
      </w:pPr>
      <w:r>
        <w:rPr>
          <w:rFonts w:ascii="Tahoma" w:hAnsi="Tahoma" w:cs="Tahoma"/>
          <w:lang w:val="fr-CA"/>
        </w:rPr>
        <w:t>Pellagre</w:t>
      </w:r>
      <w:r>
        <w:rPr>
          <w:rStyle w:val="Appelnotedebasdep"/>
          <w:rFonts w:ascii="Tahoma" w:hAnsi="Tahoma" w:cs="Tahoma"/>
          <w:lang w:val="fr-CA"/>
        </w:rPr>
        <w:footnoteReference w:id="6"/>
      </w:r>
      <w:r>
        <w:rPr>
          <w:rFonts w:ascii="Tahoma" w:hAnsi="Tahoma" w:cs="Tahoma"/>
          <w:lang w:val="fr-CA"/>
        </w:rPr>
        <w:t xml:space="preserve"> ;</w:t>
      </w:r>
    </w:p>
    <w:p w:rsidR="00A145AA" w:rsidRDefault="00A145AA" w:rsidP="00F76E88">
      <w:pPr>
        <w:pStyle w:val="Paragraphedeliste"/>
        <w:numPr>
          <w:ilvl w:val="0"/>
          <w:numId w:val="3"/>
        </w:numPr>
        <w:spacing w:line="300" w:lineRule="auto"/>
        <w:rPr>
          <w:rFonts w:ascii="Tahoma" w:hAnsi="Tahoma" w:cs="Tahoma"/>
          <w:lang w:val="fr-CA"/>
        </w:rPr>
      </w:pPr>
      <w:r w:rsidRPr="00A145AA">
        <w:rPr>
          <w:rFonts w:ascii="Tahoma" w:hAnsi="Tahoma" w:cs="Tahoma"/>
          <w:lang w:val="fr-CA"/>
        </w:rPr>
        <w:t xml:space="preserve">Maladie cardiaque carcinoïde (cœur </w:t>
      </w:r>
      <w:r>
        <w:rPr>
          <w:rFonts w:ascii="Tahoma" w:hAnsi="Tahoma" w:cs="Tahoma"/>
          <w:lang w:val="fr-CA"/>
        </w:rPr>
        <w:t>droit, valvulopathie de la tricuspide).</w:t>
      </w:r>
    </w:p>
    <w:p w:rsidR="00A145AA" w:rsidRDefault="00A145AA" w:rsidP="00A145AA">
      <w:pPr>
        <w:spacing w:line="300" w:lineRule="auto"/>
        <w:jc w:val="both"/>
        <w:rPr>
          <w:rFonts w:ascii="Tahoma" w:hAnsi="Tahoma" w:cs="Tahoma"/>
          <w:lang w:val="fr-CA"/>
        </w:rPr>
        <w:sectPr w:rsidR="00A145AA" w:rsidSect="00A145AA">
          <w:type w:val="continuous"/>
          <w:pgSz w:w="12240" w:h="15840"/>
          <w:pgMar w:top="1440" w:right="1800" w:bottom="1440" w:left="1800" w:header="708" w:footer="708" w:gutter="0"/>
          <w:cols w:num="2" w:space="708"/>
          <w:docGrid w:linePitch="360"/>
        </w:sectPr>
      </w:pPr>
    </w:p>
    <w:p w:rsidR="00A145AA" w:rsidRDefault="00A145AA" w:rsidP="00A145AA">
      <w:pPr>
        <w:spacing w:line="300" w:lineRule="auto"/>
        <w:jc w:val="both"/>
        <w:rPr>
          <w:rFonts w:ascii="Tahoma" w:hAnsi="Tahoma" w:cs="Tahoma"/>
          <w:lang w:val="fr-CA"/>
        </w:rPr>
      </w:pPr>
      <w:r>
        <w:rPr>
          <w:rFonts w:ascii="Tahoma" w:hAnsi="Tahoma" w:cs="Tahoma"/>
          <w:lang w:val="fr-CA"/>
        </w:rPr>
        <w:lastRenderedPageBreak/>
        <w:t>Il y a également des facteurs déclenchants, comme le stress, l’alcool, les fromages, les mets épicés, l’exercice, l’anesthésie et la chirurgie.</w:t>
      </w:r>
    </w:p>
    <w:p w:rsidR="00A145AA" w:rsidRDefault="00A145AA" w:rsidP="00A145AA">
      <w:pPr>
        <w:spacing w:line="300" w:lineRule="auto"/>
        <w:jc w:val="both"/>
        <w:rPr>
          <w:rFonts w:ascii="Tahoma" w:hAnsi="Tahoma" w:cs="Tahoma"/>
          <w:lang w:val="fr-CA"/>
        </w:rPr>
      </w:pPr>
      <w:r>
        <w:rPr>
          <w:rFonts w:ascii="Tahoma" w:hAnsi="Tahoma" w:cs="Tahoma"/>
          <w:lang w:val="fr-CA"/>
        </w:rPr>
        <w:t xml:space="preserve">Le diagnostic du syndrome carcinoïde se fait par une collecte d’urine de 24 heures servant à quantifier le </w:t>
      </w:r>
      <w:r w:rsidRPr="00A145AA">
        <w:rPr>
          <w:rFonts w:ascii="Tahoma" w:hAnsi="Tahoma" w:cs="Tahoma"/>
          <w:color w:val="0070C0"/>
          <w:lang w:val="fr-CA"/>
        </w:rPr>
        <w:t>5HIAA</w:t>
      </w:r>
      <w:r>
        <w:rPr>
          <w:rFonts w:ascii="Tahoma" w:hAnsi="Tahoma" w:cs="Tahoma"/>
          <w:lang w:val="fr-CA"/>
        </w:rPr>
        <w:t xml:space="preserve">, le métabolite de la sérotonine. Si le taux est élevé, cela signifie qu’il y a une surproduction de sérotonine. La présence de la </w:t>
      </w:r>
      <w:proofErr w:type="spellStart"/>
      <w:r>
        <w:rPr>
          <w:rFonts w:ascii="Tahoma" w:hAnsi="Tahoma" w:cs="Tahoma"/>
          <w:lang w:val="fr-CA"/>
        </w:rPr>
        <w:t>chromogranine</w:t>
      </w:r>
      <w:proofErr w:type="spellEnd"/>
      <w:r>
        <w:rPr>
          <w:rFonts w:ascii="Tahoma" w:hAnsi="Tahoma" w:cs="Tahoma"/>
          <w:lang w:val="fr-CA"/>
        </w:rPr>
        <w:t xml:space="preserve"> A, de la </w:t>
      </w:r>
      <w:proofErr w:type="spellStart"/>
      <w:r>
        <w:rPr>
          <w:rFonts w:ascii="Tahoma" w:hAnsi="Tahoma" w:cs="Tahoma"/>
          <w:lang w:val="fr-CA"/>
        </w:rPr>
        <w:t>synaptophysine</w:t>
      </w:r>
      <w:proofErr w:type="spellEnd"/>
      <w:r>
        <w:rPr>
          <w:rFonts w:ascii="Tahoma" w:hAnsi="Tahoma" w:cs="Tahoma"/>
          <w:lang w:val="fr-CA"/>
        </w:rPr>
        <w:t xml:space="preserve"> et/ou de l’</w:t>
      </w:r>
      <w:proofErr w:type="spellStart"/>
      <w:r>
        <w:rPr>
          <w:rFonts w:ascii="Tahoma" w:hAnsi="Tahoma" w:cs="Tahoma"/>
          <w:lang w:val="fr-CA"/>
        </w:rPr>
        <w:t>énolase</w:t>
      </w:r>
      <w:proofErr w:type="spellEnd"/>
      <w:r>
        <w:rPr>
          <w:rFonts w:ascii="Tahoma" w:hAnsi="Tahoma" w:cs="Tahoma"/>
          <w:lang w:val="fr-CA"/>
        </w:rPr>
        <w:t xml:space="preserve"> spécifique des neurones dans le sérum peut aider au diagnostic. La scintigraphie à l’</w:t>
      </w:r>
      <w:proofErr w:type="spellStart"/>
      <w:r>
        <w:rPr>
          <w:rFonts w:ascii="Tahoma" w:hAnsi="Tahoma" w:cs="Tahoma"/>
          <w:lang w:val="fr-CA"/>
        </w:rPr>
        <w:t>octréotide</w:t>
      </w:r>
      <w:proofErr w:type="spellEnd"/>
      <w:r>
        <w:rPr>
          <w:rFonts w:ascii="Tahoma" w:hAnsi="Tahoma" w:cs="Tahoma"/>
          <w:lang w:val="fr-CA"/>
        </w:rPr>
        <w:t xml:space="preserve"> peut aider à localiser la tumeur.</w:t>
      </w:r>
    </w:p>
    <w:p w:rsidR="00F8757B" w:rsidRDefault="00A145AA" w:rsidP="00A145AA">
      <w:pPr>
        <w:spacing w:line="300" w:lineRule="auto"/>
        <w:jc w:val="both"/>
        <w:rPr>
          <w:rFonts w:ascii="Tahoma" w:hAnsi="Tahoma" w:cs="Tahoma"/>
          <w:lang w:val="fr-CA"/>
        </w:rPr>
      </w:pPr>
      <w:r>
        <w:rPr>
          <w:rFonts w:ascii="Tahoma" w:hAnsi="Tahoma" w:cs="Tahoma"/>
          <w:lang w:val="fr-CA"/>
        </w:rPr>
        <w:t xml:space="preserve">Le seul traitement curatif du syndrome carcinoïde est la chirurgie. Les résultats de la chimiothérapie sont décevants. La prescription de </w:t>
      </w:r>
      <w:r w:rsidRPr="00A145AA">
        <w:rPr>
          <w:rFonts w:ascii="Tahoma" w:hAnsi="Tahoma" w:cs="Tahoma"/>
          <w:color w:val="0070C0"/>
          <w:lang w:val="fr-CA"/>
        </w:rPr>
        <w:t>somatostatine</w:t>
      </w:r>
      <w:r>
        <w:rPr>
          <w:rFonts w:ascii="Tahoma" w:hAnsi="Tahoma" w:cs="Tahoma"/>
          <w:lang w:val="fr-CA"/>
        </w:rPr>
        <w:t xml:space="preserve"> peut aider à contrôler les symptômes et a un effet anti-tumoral. Les </w:t>
      </w:r>
      <w:r w:rsidRPr="00A145AA">
        <w:rPr>
          <w:rFonts w:ascii="Tahoma" w:hAnsi="Tahoma" w:cs="Tahoma"/>
          <w:color w:val="0070C0"/>
          <w:lang w:val="fr-CA"/>
        </w:rPr>
        <w:t xml:space="preserve">interférons alpha </w:t>
      </w:r>
      <w:r>
        <w:rPr>
          <w:rFonts w:ascii="Tahoma" w:hAnsi="Tahoma" w:cs="Tahoma"/>
          <w:lang w:val="fr-CA"/>
        </w:rPr>
        <w:t>peuvent aussi être utilisés.</w:t>
      </w:r>
      <w:r w:rsidR="00F8757B">
        <w:rPr>
          <w:rFonts w:ascii="Tahoma" w:hAnsi="Tahoma" w:cs="Tahoma"/>
          <w:lang w:val="fr-CA"/>
        </w:rPr>
        <w:t xml:space="preserve"> Une thérapie radionucléaire peut aussi être employée, par l’entremise d’un analogue de la somatostatine </w:t>
      </w:r>
      <w:proofErr w:type="spellStart"/>
      <w:r w:rsidR="00F8757B">
        <w:rPr>
          <w:rFonts w:ascii="Tahoma" w:hAnsi="Tahoma" w:cs="Tahoma"/>
          <w:lang w:val="fr-CA"/>
        </w:rPr>
        <w:t>radiomarqué</w:t>
      </w:r>
      <w:proofErr w:type="spellEnd"/>
      <w:r w:rsidR="00F8757B">
        <w:rPr>
          <w:rFonts w:ascii="Tahoma" w:hAnsi="Tahoma" w:cs="Tahoma"/>
          <w:lang w:val="fr-CA"/>
        </w:rPr>
        <w:t>.</w:t>
      </w:r>
      <w:r w:rsidR="00F8757B">
        <w:rPr>
          <w:rFonts w:ascii="Tahoma" w:hAnsi="Tahoma" w:cs="Tahoma"/>
          <w:lang w:val="fr-CA"/>
        </w:rPr>
        <w:br w:type="page"/>
      </w:r>
    </w:p>
    <w:p w:rsidR="00F8757B" w:rsidRDefault="00F8757B" w:rsidP="00F8757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 DIVERTICULE DE MECKEL</w:t>
      </w:r>
    </w:p>
    <w:p w:rsidR="00F8757B" w:rsidRDefault="00F8757B" w:rsidP="00F8757B">
      <w:pPr>
        <w:spacing w:line="300" w:lineRule="auto"/>
        <w:jc w:val="both"/>
        <w:rPr>
          <w:rFonts w:ascii="Tahoma" w:hAnsi="Tahoma" w:cs="Tahoma"/>
          <w:lang w:val="fr-CA"/>
        </w:rPr>
      </w:pPr>
      <w:r>
        <w:rPr>
          <w:rFonts w:ascii="Tahoma" w:hAnsi="Tahoma" w:cs="Tahoma"/>
          <w:lang w:val="fr-CA"/>
        </w:rPr>
        <w:t xml:space="preserve">Le diverticule de Meckel </w:t>
      </w:r>
      <w:r w:rsidRPr="00F8757B">
        <w:rPr>
          <w:rFonts w:ascii="Tahoma" w:hAnsi="Tahoma" w:cs="Tahoma"/>
          <w:lang w:val="fr-CA"/>
        </w:rPr>
        <w:t>est un vrai diverticule composé de</w:t>
      </w:r>
      <w:r w:rsidRPr="00F8757B">
        <w:rPr>
          <w:rFonts w:ascii="Tahoma" w:hAnsi="Tahoma" w:cs="Tahoma"/>
          <w:color w:val="0070C0"/>
          <w:lang w:val="fr-CA"/>
        </w:rPr>
        <w:t xml:space="preserve"> toutes les couches de la paroi iléale</w:t>
      </w:r>
      <w:r w:rsidR="00F57A00">
        <w:rPr>
          <w:rFonts w:ascii="Tahoma" w:hAnsi="Tahoma" w:cs="Tahoma"/>
          <w:lang w:val="fr-CA"/>
        </w:rPr>
        <w:t>. C’est un vestige embryologique qui</w:t>
      </w:r>
      <w:r>
        <w:rPr>
          <w:rFonts w:ascii="Tahoma" w:hAnsi="Tahoma" w:cs="Tahoma"/>
          <w:lang w:val="fr-CA"/>
        </w:rPr>
        <w:t xml:space="preserve"> atteint deux fois plus souvent les hommes que les femmes. Il est situé à 2 pieds de la jonction iléo</w:t>
      </w:r>
      <w:r w:rsidR="000A5EA8">
        <w:rPr>
          <w:rFonts w:ascii="Tahoma" w:hAnsi="Tahoma" w:cs="Tahoma"/>
          <w:lang w:val="fr-CA"/>
        </w:rPr>
        <w:t>-</w:t>
      </w:r>
      <w:bookmarkStart w:id="0" w:name="_GoBack"/>
      <w:bookmarkEnd w:id="0"/>
      <w:r>
        <w:rPr>
          <w:rFonts w:ascii="Tahoma" w:hAnsi="Tahoma" w:cs="Tahoma"/>
          <w:lang w:val="fr-CA"/>
        </w:rPr>
        <w:t>cæcale et la majorité des cas cliniques sont observés chez les individus de moins de 2 ans.</w:t>
      </w:r>
    </w:p>
    <w:p w:rsidR="00F8757B" w:rsidRDefault="00F8757B" w:rsidP="00F8757B">
      <w:pPr>
        <w:spacing w:line="300" w:lineRule="auto"/>
        <w:jc w:val="both"/>
        <w:rPr>
          <w:rFonts w:ascii="Tahoma" w:hAnsi="Tahoma" w:cs="Tahoma"/>
          <w:lang w:val="fr-CA"/>
        </w:rPr>
      </w:pPr>
      <w:r>
        <w:rPr>
          <w:rFonts w:ascii="Tahoma" w:hAnsi="Tahoma" w:cs="Tahoma"/>
          <w:lang w:val="fr-CA"/>
        </w:rPr>
        <w:t>Le diverticule de Meckel est symptomatique la moitié du temps, lorsque la muqueuse gastro-intestinale est ectopique</w:t>
      </w:r>
      <w:r>
        <w:rPr>
          <w:rStyle w:val="Appelnotedebasdep"/>
          <w:rFonts w:ascii="Tahoma" w:hAnsi="Tahoma" w:cs="Tahoma"/>
          <w:lang w:val="fr-CA"/>
        </w:rPr>
        <w:footnoteReference w:id="7"/>
      </w:r>
      <w:r>
        <w:rPr>
          <w:rFonts w:ascii="Tahoma" w:hAnsi="Tahoma" w:cs="Tahoma"/>
          <w:lang w:val="fr-CA"/>
        </w:rPr>
        <w:t>. L’origine est la plupart du temps gastrique en raison de l’acidité, mais peut aussi être duodénale, pancréatique, biliaire ou colique.</w:t>
      </w:r>
    </w:p>
    <w:p w:rsidR="00F57A00" w:rsidRDefault="00F57A00" w:rsidP="00F57A00">
      <w:pPr>
        <w:spacing w:line="300" w:lineRule="auto"/>
        <w:jc w:val="both"/>
        <w:rPr>
          <w:rFonts w:ascii="Tahoma" w:hAnsi="Tahoma" w:cs="Tahoma"/>
          <w:lang w:val="fr-CA"/>
        </w:rPr>
      </w:pPr>
      <w:r>
        <w:rPr>
          <w:rFonts w:ascii="Tahoma" w:hAnsi="Tahoma" w:cs="Tahoma"/>
          <w:lang w:val="fr-CA"/>
        </w:rPr>
        <w:t>Les manifestations cliniques peuvent inclure une hémorragie digestive basse secondaire à une ulcération peptique et une obstruction intestinale caractérisée par :</w:t>
      </w:r>
    </w:p>
    <w:p w:rsidR="00F57A00" w:rsidRDefault="00F57A00" w:rsidP="00F57A00">
      <w:pPr>
        <w:pStyle w:val="Paragraphedeliste"/>
        <w:numPr>
          <w:ilvl w:val="0"/>
          <w:numId w:val="5"/>
        </w:numPr>
        <w:spacing w:line="300" w:lineRule="auto"/>
        <w:jc w:val="both"/>
        <w:rPr>
          <w:rFonts w:ascii="Tahoma" w:hAnsi="Tahoma" w:cs="Tahoma"/>
          <w:lang w:val="fr-CA"/>
        </w:rPr>
      </w:pPr>
      <w:r>
        <w:rPr>
          <w:rFonts w:ascii="Tahoma" w:hAnsi="Tahoma" w:cs="Tahoma"/>
          <w:lang w:val="fr-CA"/>
        </w:rPr>
        <w:t>Intussusception ;</w:t>
      </w:r>
    </w:p>
    <w:p w:rsidR="00F57A00" w:rsidRDefault="00F57A00" w:rsidP="00F57A00">
      <w:pPr>
        <w:pStyle w:val="Paragraphedeliste"/>
        <w:numPr>
          <w:ilvl w:val="0"/>
          <w:numId w:val="5"/>
        </w:numPr>
        <w:spacing w:line="300" w:lineRule="auto"/>
        <w:jc w:val="both"/>
        <w:rPr>
          <w:rFonts w:ascii="Tahoma" w:hAnsi="Tahoma" w:cs="Tahoma"/>
          <w:lang w:val="fr-CA"/>
        </w:rPr>
      </w:pPr>
      <w:proofErr w:type="spellStart"/>
      <w:r>
        <w:rPr>
          <w:rFonts w:ascii="Tahoma" w:hAnsi="Tahoma" w:cs="Tahoma"/>
          <w:lang w:val="fr-CA"/>
        </w:rPr>
        <w:t>Herniation</w:t>
      </w:r>
      <w:proofErr w:type="spellEnd"/>
      <w:r>
        <w:rPr>
          <w:rFonts w:ascii="Tahoma" w:hAnsi="Tahoma" w:cs="Tahoma"/>
          <w:lang w:val="fr-CA"/>
        </w:rPr>
        <w:t xml:space="preserve"> ;</w:t>
      </w:r>
    </w:p>
    <w:p w:rsidR="00F57A00" w:rsidRDefault="00F57A00" w:rsidP="00F57A00">
      <w:pPr>
        <w:pStyle w:val="Paragraphedeliste"/>
        <w:numPr>
          <w:ilvl w:val="0"/>
          <w:numId w:val="5"/>
        </w:numPr>
        <w:spacing w:line="300" w:lineRule="auto"/>
        <w:jc w:val="both"/>
        <w:rPr>
          <w:rFonts w:ascii="Tahoma" w:hAnsi="Tahoma" w:cs="Tahoma"/>
          <w:lang w:val="fr-CA"/>
        </w:rPr>
      </w:pPr>
      <w:r>
        <w:rPr>
          <w:rFonts w:ascii="Tahoma" w:hAnsi="Tahoma" w:cs="Tahoma"/>
          <w:lang w:val="fr-CA"/>
        </w:rPr>
        <w:t>Volvulus</w:t>
      </w:r>
      <w:r>
        <w:rPr>
          <w:rStyle w:val="Appelnotedebasdep"/>
          <w:rFonts w:ascii="Tahoma" w:hAnsi="Tahoma" w:cs="Tahoma"/>
          <w:lang w:val="fr-CA"/>
        </w:rPr>
        <w:footnoteReference w:id="8"/>
      </w:r>
      <w:r>
        <w:rPr>
          <w:rFonts w:ascii="Tahoma" w:hAnsi="Tahoma" w:cs="Tahoma"/>
          <w:lang w:val="fr-CA"/>
        </w:rPr>
        <w:t xml:space="preserve"> ;</w:t>
      </w:r>
    </w:p>
    <w:p w:rsidR="00F57A00" w:rsidRDefault="00F57A00" w:rsidP="00F57A00">
      <w:pPr>
        <w:pStyle w:val="Paragraphedeliste"/>
        <w:numPr>
          <w:ilvl w:val="0"/>
          <w:numId w:val="5"/>
        </w:numPr>
        <w:spacing w:line="300" w:lineRule="auto"/>
        <w:jc w:val="both"/>
        <w:rPr>
          <w:rFonts w:ascii="Tahoma" w:hAnsi="Tahoma" w:cs="Tahoma"/>
          <w:lang w:val="fr-CA"/>
        </w:rPr>
      </w:pPr>
      <w:r>
        <w:rPr>
          <w:rFonts w:ascii="Tahoma" w:hAnsi="Tahoma" w:cs="Tahoma"/>
          <w:lang w:val="fr-CA"/>
        </w:rPr>
        <w:t>Vomissements ;</w:t>
      </w:r>
    </w:p>
    <w:p w:rsidR="00F57A00" w:rsidRDefault="00F57A00" w:rsidP="00F57A00">
      <w:pPr>
        <w:pStyle w:val="Paragraphedeliste"/>
        <w:numPr>
          <w:ilvl w:val="0"/>
          <w:numId w:val="5"/>
        </w:numPr>
        <w:spacing w:line="300" w:lineRule="auto"/>
        <w:jc w:val="both"/>
        <w:rPr>
          <w:rFonts w:ascii="Tahoma" w:hAnsi="Tahoma" w:cs="Tahoma"/>
          <w:lang w:val="fr-CA"/>
        </w:rPr>
      </w:pPr>
      <w:r>
        <w:rPr>
          <w:rFonts w:ascii="Tahoma" w:hAnsi="Tahoma" w:cs="Tahoma"/>
          <w:lang w:val="fr-CA"/>
        </w:rPr>
        <w:t>Distension abdominale ;</w:t>
      </w:r>
    </w:p>
    <w:p w:rsidR="00F57A00" w:rsidRDefault="00F57A00" w:rsidP="00F57A00">
      <w:pPr>
        <w:pStyle w:val="Paragraphedeliste"/>
        <w:numPr>
          <w:ilvl w:val="0"/>
          <w:numId w:val="5"/>
        </w:numPr>
        <w:spacing w:line="300" w:lineRule="auto"/>
        <w:jc w:val="both"/>
        <w:rPr>
          <w:rFonts w:ascii="Tahoma" w:hAnsi="Tahoma" w:cs="Tahoma"/>
          <w:lang w:val="fr-CA"/>
        </w:rPr>
      </w:pPr>
      <w:r>
        <w:rPr>
          <w:rFonts w:ascii="Tahoma" w:hAnsi="Tahoma" w:cs="Tahoma"/>
          <w:lang w:val="fr-CA"/>
        </w:rPr>
        <w:t>Risque d’ischémie.</w:t>
      </w:r>
    </w:p>
    <w:p w:rsidR="00F57A00" w:rsidRPr="000E71E7" w:rsidRDefault="00F57A00" w:rsidP="000E71E7">
      <w:pPr>
        <w:spacing w:line="300" w:lineRule="auto"/>
        <w:jc w:val="both"/>
        <w:rPr>
          <w:rFonts w:ascii="Tahoma" w:hAnsi="Tahoma" w:cs="Tahoma"/>
          <w:lang w:val="fr-CA"/>
        </w:rPr>
      </w:pPr>
      <w:r>
        <w:rPr>
          <w:rFonts w:ascii="Tahoma" w:hAnsi="Tahoma" w:cs="Tahoma"/>
          <w:lang w:val="fr-CA"/>
        </w:rPr>
        <w:t>La diverticulite de Meckel est une complication inflammatoire aiguë qui peut être confondue avec une appendicite.</w:t>
      </w:r>
    </w:p>
    <w:p w:rsidR="00F57A00" w:rsidRDefault="00F57A00" w:rsidP="00F57A00">
      <w:pPr>
        <w:spacing w:line="300" w:lineRule="auto"/>
        <w:jc w:val="both"/>
        <w:rPr>
          <w:rFonts w:ascii="Tahoma" w:hAnsi="Tahoma" w:cs="Tahoma"/>
          <w:lang w:val="fr-CA"/>
        </w:rPr>
      </w:pPr>
      <w:r>
        <w:rPr>
          <w:rFonts w:ascii="Tahoma" w:hAnsi="Tahoma" w:cs="Tahoma"/>
          <w:lang w:val="fr-CA"/>
        </w:rPr>
        <w:br w:type="page"/>
      </w:r>
    </w:p>
    <w:p w:rsidR="00F57A00" w:rsidRDefault="00F57A00" w:rsidP="00F57A00">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RÉSUMÉ</w:t>
      </w:r>
    </w:p>
    <w:p w:rsidR="00F57A00" w:rsidRDefault="00F57A00" w:rsidP="00F57A00">
      <w:pPr>
        <w:spacing w:line="300" w:lineRule="auto"/>
        <w:jc w:val="both"/>
        <w:rPr>
          <w:rFonts w:ascii="Tahoma" w:hAnsi="Tahoma" w:cs="Tahoma"/>
          <w:lang w:val="fr-CA"/>
        </w:rPr>
      </w:pPr>
      <w:r>
        <w:rPr>
          <w:rFonts w:ascii="Tahoma" w:hAnsi="Tahoma" w:cs="Tahoma"/>
          <w:lang w:val="fr-CA"/>
        </w:rPr>
        <w:t xml:space="preserve">Tous les cas de diarrhée traduisent un déficit de surcharge ayant plusieurs causes possibles. C’est une manifestation commune secondaire à un état de malabsorption, sauf dans le cas du syndrome </w:t>
      </w:r>
      <w:r w:rsidR="00F76E88">
        <w:rPr>
          <w:rFonts w:ascii="Tahoma" w:hAnsi="Tahoma" w:cs="Tahoma"/>
          <w:lang w:val="fr-CA"/>
        </w:rPr>
        <w:t>carcinoïde, qui doit être exclu</w:t>
      </w:r>
      <w:r>
        <w:rPr>
          <w:rFonts w:ascii="Tahoma" w:hAnsi="Tahoma" w:cs="Tahoma"/>
          <w:lang w:val="fr-CA"/>
        </w:rPr>
        <w:t>.</w:t>
      </w:r>
    </w:p>
    <w:p w:rsidR="00F57A00" w:rsidRDefault="00F57A00" w:rsidP="00F57A00">
      <w:pPr>
        <w:spacing w:line="300" w:lineRule="auto"/>
        <w:jc w:val="both"/>
        <w:rPr>
          <w:rFonts w:ascii="Tahoma" w:hAnsi="Tahoma" w:cs="Tahoma"/>
          <w:lang w:val="fr-CA"/>
        </w:rPr>
      </w:pPr>
      <w:r>
        <w:rPr>
          <w:rFonts w:ascii="Tahoma" w:hAnsi="Tahoma" w:cs="Tahoma"/>
          <w:lang w:val="fr-CA"/>
        </w:rPr>
        <w:t>Les obstructions peuvent être tumorales ou être liées à des intussusceptions.</w:t>
      </w:r>
    </w:p>
    <w:p w:rsidR="00F57A00" w:rsidRDefault="00F57A00" w:rsidP="00F57A00">
      <w:pPr>
        <w:spacing w:line="300" w:lineRule="auto"/>
        <w:jc w:val="both"/>
        <w:rPr>
          <w:rFonts w:ascii="Tahoma" w:hAnsi="Tahoma" w:cs="Tahoma"/>
          <w:lang w:val="fr-CA"/>
        </w:rPr>
      </w:pPr>
      <w:r>
        <w:rPr>
          <w:rFonts w:ascii="Tahoma" w:hAnsi="Tahoma" w:cs="Tahoma"/>
          <w:lang w:val="fr-CA"/>
        </w:rPr>
        <w:t>Les hémorragies peuvent être présentes, notamment dans le cas du diverticule de Meckel.</w:t>
      </w:r>
    </w:p>
    <w:p w:rsidR="00F57A00" w:rsidRPr="00F57A00" w:rsidRDefault="00F57A00" w:rsidP="00F57A00">
      <w:pPr>
        <w:spacing w:line="300" w:lineRule="auto"/>
        <w:jc w:val="both"/>
        <w:rPr>
          <w:rFonts w:ascii="Tahoma" w:hAnsi="Tahoma" w:cs="Tahoma"/>
          <w:lang w:val="fr-CA"/>
        </w:rPr>
      </w:pPr>
      <w:r>
        <w:rPr>
          <w:rFonts w:ascii="Tahoma" w:hAnsi="Tahoma" w:cs="Tahoma"/>
          <w:lang w:val="fr-CA"/>
        </w:rPr>
        <w:t xml:space="preserve">Pour les segments du tube digestif qu’on ne peut pas analyser par gastroscopie, il faut utiliser une </w:t>
      </w:r>
      <w:r w:rsidRPr="00F57A00">
        <w:rPr>
          <w:rFonts w:ascii="Tahoma" w:hAnsi="Tahoma" w:cs="Tahoma"/>
          <w:color w:val="0070C0"/>
          <w:lang w:val="fr-CA"/>
        </w:rPr>
        <w:t xml:space="preserve">caméra </w:t>
      </w:r>
      <w:proofErr w:type="spellStart"/>
      <w:r w:rsidRPr="00F57A00">
        <w:rPr>
          <w:rFonts w:ascii="Tahoma" w:hAnsi="Tahoma" w:cs="Tahoma"/>
          <w:color w:val="0070C0"/>
          <w:lang w:val="fr-CA"/>
        </w:rPr>
        <w:t>ingestible</w:t>
      </w:r>
      <w:proofErr w:type="spellEnd"/>
      <w:r>
        <w:rPr>
          <w:rFonts w:ascii="Tahoma" w:hAnsi="Tahoma" w:cs="Tahoma"/>
          <w:lang w:val="fr-CA"/>
        </w:rPr>
        <w:t>.</w:t>
      </w:r>
    </w:p>
    <w:sectPr w:rsidR="00F57A00" w:rsidRPr="00F57A00" w:rsidSect="00F8757B">
      <w:type w:val="continuous"/>
      <w:pgSz w:w="12240" w:h="15840"/>
      <w:pgMar w:top="1440" w:right="1800" w:bottom="1440" w:left="1800"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F0F" w:rsidRDefault="00BA0F0F" w:rsidP="002C1B14">
      <w:pPr>
        <w:spacing w:after="0" w:line="240" w:lineRule="auto"/>
      </w:pPr>
      <w:r>
        <w:separator/>
      </w:r>
    </w:p>
  </w:endnote>
  <w:endnote w:type="continuationSeparator" w:id="0">
    <w:p w:rsidR="00BA0F0F" w:rsidRDefault="00BA0F0F" w:rsidP="002C1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F0F" w:rsidRDefault="00BA0F0F" w:rsidP="002C1B14">
      <w:pPr>
        <w:spacing w:after="0" w:line="240" w:lineRule="auto"/>
      </w:pPr>
      <w:r>
        <w:separator/>
      </w:r>
    </w:p>
  </w:footnote>
  <w:footnote w:type="continuationSeparator" w:id="0">
    <w:p w:rsidR="00BA0F0F" w:rsidRDefault="00BA0F0F" w:rsidP="002C1B14">
      <w:pPr>
        <w:spacing w:after="0" w:line="240" w:lineRule="auto"/>
      </w:pPr>
      <w:r>
        <w:continuationSeparator/>
      </w:r>
    </w:p>
  </w:footnote>
  <w:footnote w:id="1">
    <w:p w:rsidR="002C1B14" w:rsidRPr="00600E40" w:rsidRDefault="002C1B14">
      <w:pPr>
        <w:pStyle w:val="Notedebasdepage"/>
        <w:rPr>
          <w:rFonts w:ascii="Tahoma" w:hAnsi="Tahoma" w:cs="Tahoma"/>
          <w:sz w:val="18"/>
          <w:szCs w:val="18"/>
          <w:lang w:val="fr-CA"/>
        </w:rPr>
      </w:pPr>
      <w:r w:rsidRPr="00600E40">
        <w:rPr>
          <w:rStyle w:val="Appelnotedebasdep"/>
          <w:rFonts w:ascii="Tahoma" w:hAnsi="Tahoma" w:cs="Tahoma"/>
          <w:sz w:val="18"/>
          <w:szCs w:val="18"/>
        </w:rPr>
        <w:footnoteRef/>
      </w:r>
      <w:r w:rsidRPr="00600E40">
        <w:rPr>
          <w:rFonts w:ascii="Tahoma" w:hAnsi="Tahoma" w:cs="Tahoma"/>
          <w:sz w:val="18"/>
          <w:szCs w:val="18"/>
          <w:lang w:val="fr-CA"/>
        </w:rPr>
        <w:t xml:space="preserve"> I</w:t>
      </w:r>
      <w:proofErr w:type="spellStart"/>
      <w:r w:rsidRPr="00600E40">
        <w:rPr>
          <w:rFonts w:ascii="Tahoma" w:hAnsi="Tahoma" w:cs="Tahoma"/>
          <w:sz w:val="18"/>
          <w:szCs w:val="18"/>
          <w:lang w:val="fr-FR"/>
        </w:rPr>
        <w:t>nflammation</w:t>
      </w:r>
      <w:proofErr w:type="spellEnd"/>
      <w:r w:rsidRPr="00600E40">
        <w:rPr>
          <w:rFonts w:ascii="Tahoma" w:hAnsi="Tahoma" w:cs="Tahoma"/>
          <w:sz w:val="18"/>
          <w:szCs w:val="18"/>
          <w:lang w:val="fr-FR"/>
        </w:rPr>
        <w:t xml:space="preserve"> de la langue, entraînant un gonflement et un changement de couleur et de forme dans les cas graves.</w:t>
      </w:r>
    </w:p>
  </w:footnote>
  <w:footnote w:id="2">
    <w:p w:rsidR="00600E40" w:rsidRPr="00600E40" w:rsidRDefault="00600E40">
      <w:pPr>
        <w:pStyle w:val="Notedebasdepage"/>
        <w:rPr>
          <w:rFonts w:ascii="Tahoma" w:hAnsi="Tahoma" w:cs="Tahoma"/>
          <w:sz w:val="18"/>
          <w:szCs w:val="18"/>
          <w:lang w:val="fr-CA"/>
        </w:rPr>
      </w:pPr>
      <w:r w:rsidRPr="00600E40">
        <w:rPr>
          <w:rStyle w:val="Appelnotedebasdep"/>
          <w:rFonts w:ascii="Tahoma" w:hAnsi="Tahoma" w:cs="Tahoma"/>
          <w:sz w:val="18"/>
          <w:szCs w:val="18"/>
        </w:rPr>
        <w:footnoteRef/>
      </w:r>
      <w:r w:rsidRPr="00600E40">
        <w:rPr>
          <w:rFonts w:ascii="Tahoma" w:hAnsi="Tahoma" w:cs="Tahoma"/>
          <w:sz w:val="18"/>
          <w:szCs w:val="18"/>
          <w:lang w:val="fr-CA"/>
        </w:rPr>
        <w:t xml:space="preserve"> Tumeurs à évolution lente qui entraînent une augmentation du calibre des vaisseaux sanguins.</w:t>
      </w:r>
    </w:p>
  </w:footnote>
  <w:footnote w:id="3">
    <w:p w:rsidR="00600E40" w:rsidRPr="00600E40" w:rsidRDefault="00600E40">
      <w:pPr>
        <w:pStyle w:val="Notedebasdepage"/>
        <w:rPr>
          <w:rFonts w:ascii="Tahoma" w:hAnsi="Tahoma" w:cs="Tahoma"/>
          <w:sz w:val="18"/>
          <w:szCs w:val="18"/>
          <w:lang w:val="fr-CA"/>
        </w:rPr>
      </w:pPr>
      <w:r w:rsidRPr="00600E40">
        <w:rPr>
          <w:rStyle w:val="Appelnotedebasdep"/>
          <w:rFonts w:ascii="Tahoma" w:hAnsi="Tahoma" w:cs="Tahoma"/>
          <w:sz w:val="18"/>
          <w:szCs w:val="18"/>
        </w:rPr>
        <w:footnoteRef/>
      </w:r>
      <w:r w:rsidRPr="00600E40">
        <w:rPr>
          <w:rFonts w:ascii="Tahoma" w:hAnsi="Tahoma" w:cs="Tahoma"/>
          <w:sz w:val="18"/>
          <w:szCs w:val="18"/>
          <w:lang w:val="fr-CA"/>
        </w:rPr>
        <w:t xml:space="preserve"> </w:t>
      </w:r>
      <w:r>
        <w:rPr>
          <w:rFonts w:ascii="Tahoma" w:hAnsi="Tahoma" w:cs="Tahoma"/>
          <w:sz w:val="18"/>
          <w:szCs w:val="18"/>
          <w:lang w:val="fr-CA"/>
        </w:rPr>
        <w:t>T</w:t>
      </w:r>
      <w:r w:rsidRPr="00600E40">
        <w:rPr>
          <w:rFonts w:ascii="Tahoma" w:hAnsi="Tahoma" w:cs="Tahoma"/>
          <w:sz w:val="18"/>
          <w:szCs w:val="18"/>
          <w:lang w:val="fr-CA"/>
        </w:rPr>
        <w:t>ype de cancer qui prend origine dans les tissus de soutien tels que les os, le cartilage, les tissus adipeux, les muscles, les vaisseaux sanguins ou d'autres tissus conjonctifs.</w:t>
      </w:r>
    </w:p>
  </w:footnote>
  <w:footnote w:id="4">
    <w:p w:rsidR="00E45D35" w:rsidRPr="00F76E88" w:rsidRDefault="00E45D35">
      <w:pPr>
        <w:pStyle w:val="Notedebasdepage"/>
        <w:rPr>
          <w:rFonts w:ascii="Tahoma" w:hAnsi="Tahoma" w:cs="Tahoma"/>
          <w:sz w:val="18"/>
          <w:szCs w:val="18"/>
          <w:lang w:val="fr-CA"/>
        </w:rPr>
      </w:pPr>
      <w:r w:rsidRPr="00F76E88">
        <w:rPr>
          <w:rStyle w:val="Appelnotedebasdep"/>
          <w:rFonts w:ascii="Tahoma" w:hAnsi="Tahoma" w:cs="Tahoma"/>
          <w:sz w:val="18"/>
          <w:szCs w:val="18"/>
        </w:rPr>
        <w:footnoteRef/>
      </w:r>
      <w:r w:rsidRPr="00F76E88">
        <w:rPr>
          <w:rFonts w:ascii="Tahoma" w:hAnsi="Tahoma" w:cs="Tahoma"/>
          <w:sz w:val="18"/>
          <w:szCs w:val="18"/>
          <w:lang w:val="fr-CA"/>
        </w:rPr>
        <w:t xml:space="preserve"> Quantité anormale de graisse dans les selles.</w:t>
      </w:r>
    </w:p>
  </w:footnote>
  <w:footnote w:id="5">
    <w:p w:rsidR="00A145AA" w:rsidRPr="00F76E88" w:rsidRDefault="00A145AA">
      <w:pPr>
        <w:pStyle w:val="Notedebasdepage"/>
        <w:rPr>
          <w:rFonts w:ascii="Tahoma" w:hAnsi="Tahoma" w:cs="Tahoma"/>
          <w:sz w:val="18"/>
          <w:szCs w:val="18"/>
          <w:lang w:val="fr-CA"/>
        </w:rPr>
      </w:pPr>
      <w:r w:rsidRPr="00F76E88">
        <w:rPr>
          <w:rStyle w:val="Appelnotedebasdep"/>
          <w:rFonts w:ascii="Tahoma" w:hAnsi="Tahoma" w:cs="Tahoma"/>
          <w:sz w:val="18"/>
          <w:szCs w:val="18"/>
        </w:rPr>
        <w:footnoteRef/>
      </w:r>
      <w:r w:rsidRPr="00F76E88">
        <w:rPr>
          <w:rFonts w:ascii="Tahoma" w:hAnsi="Tahoma" w:cs="Tahoma"/>
          <w:sz w:val="18"/>
          <w:szCs w:val="18"/>
          <w:lang w:val="fr-CA"/>
        </w:rPr>
        <w:t xml:space="preserve"> Épisodes brefs de vasodilatation.</w:t>
      </w:r>
    </w:p>
  </w:footnote>
  <w:footnote w:id="6">
    <w:p w:rsidR="00A145AA" w:rsidRPr="00A145AA" w:rsidRDefault="00A145AA">
      <w:pPr>
        <w:pStyle w:val="Notedebasdepage"/>
        <w:rPr>
          <w:lang w:val="fr-CA"/>
        </w:rPr>
      </w:pPr>
      <w:r w:rsidRPr="00F76E88">
        <w:rPr>
          <w:rStyle w:val="Appelnotedebasdep"/>
          <w:rFonts w:ascii="Tahoma" w:hAnsi="Tahoma" w:cs="Tahoma"/>
          <w:sz w:val="18"/>
          <w:szCs w:val="18"/>
        </w:rPr>
        <w:footnoteRef/>
      </w:r>
      <w:r w:rsidRPr="00F76E88">
        <w:rPr>
          <w:rFonts w:ascii="Tahoma" w:hAnsi="Tahoma" w:cs="Tahoma"/>
          <w:sz w:val="18"/>
          <w:szCs w:val="18"/>
          <w:lang w:val="fr-CA"/>
        </w:rPr>
        <w:t xml:space="preserve"> Maladie liée à la malnutrition.</w:t>
      </w:r>
    </w:p>
  </w:footnote>
  <w:footnote w:id="7">
    <w:p w:rsidR="00F8757B" w:rsidRPr="00F57A00" w:rsidRDefault="00F8757B">
      <w:pPr>
        <w:pStyle w:val="Notedebasdepage"/>
        <w:rPr>
          <w:rFonts w:ascii="Tahoma" w:hAnsi="Tahoma" w:cs="Tahoma"/>
          <w:sz w:val="18"/>
          <w:szCs w:val="18"/>
          <w:lang w:val="fr-CA"/>
        </w:rPr>
      </w:pPr>
      <w:r w:rsidRPr="00F57A00">
        <w:rPr>
          <w:rStyle w:val="Appelnotedebasdep"/>
          <w:rFonts w:ascii="Tahoma" w:hAnsi="Tahoma" w:cs="Tahoma"/>
          <w:sz w:val="18"/>
          <w:szCs w:val="18"/>
        </w:rPr>
        <w:footnoteRef/>
      </w:r>
      <w:r w:rsidRPr="00F57A00">
        <w:rPr>
          <w:rFonts w:ascii="Tahoma" w:hAnsi="Tahoma" w:cs="Tahoma"/>
          <w:sz w:val="18"/>
          <w:szCs w:val="18"/>
          <w:lang w:val="fr-CA"/>
        </w:rPr>
        <w:t xml:space="preserve"> L’ectopie désigne la position anormale d'un organe.</w:t>
      </w:r>
    </w:p>
  </w:footnote>
  <w:footnote w:id="8">
    <w:p w:rsidR="00F57A00" w:rsidRPr="00F57A00" w:rsidRDefault="00F57A00">
      <w:pPr>
        <w:pStyle w:val="Notedebasdepage"/>
        <w:rPr>
          <w:lang w:val="fr-CA"/>
        </w:rPr>
      </w:pPr>
      <w:r w:rsidRPr="00F57A00">
        <w:rPr>
          <w:rStyle w:val="Appelnotedebasdep"/>
          <w:rFonts w:ascii="Tahoma" w:hAnsi="Tahoma" w:cs="Tahoma"/>
          <w:sz w:val="18"/>
          <w:szCs w:val="18"/>
        </w:rPr>
        <w:footnoteRef/>
      </w:r>
      <w:r w:rsidRPr="00F57A00">
        <w:rPr>
          <w:rFonts w:ascii="Tahoma" w:hAnsi="Tahoma" w:cs="Tahoma"/>
          <w:sz w:val="18"/>
          <w:szCs w:val="18"/>
          <w:lang w:val="fr-CA"/>
        </w:rPr>
        <w:t xml:space="preserve"> Retournement d'un tube sur lui-même en faisant une boucle qui s'étrangle à la base.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794375"/>
      <w:docPartObj>
        <w:docPartGallery w:val="Page Numbers (Top of Page)"/>
        <w:docPartUnique/>
      </w:docPartObj>
    </w:sdtPr>
    <w:sdtEndPr>
      <w:rPr>
        <w:rFonts w:ascii="Tahoma" w:hAnsi="Tahoma" w:cs="Tahoma"/>
        <w:sz w:val="20"/>
        <w:szCs w:val="20"/>
      </w:rPr>
    </w:sdtEndPr>
    <w:sdtContent>
      <w:p w:rsidR="00A53C3A" w:rsidRPr="00F8757B" w:rsidRDefault="00A53C3A">
        <w:pPr>
          <w:pStyle w:val="En-tte"/>
          <w:jc w:val="right"/>
          <w:rPr>
            <w:rFonts w:ascii="Tahoma" w:hAnsi="Tahoma" w:cs="Tahoma"/>
            <w:sz w:val="20"/>
            <w:szCs w:val="20"/>
          </w:rPr>
        </w:pPr>
        <w:r w:rsidRPr="00F8757B">
          <w:rPr>
            <w:rFonts w:ascii="Tahoma" w:hAnsi="Tahoma" w:cs="Tahoma"/>
            <w:sz w:val="20"/>
            <w:szCs w:val="20"/>
          </w:rPr>
          <w:fldChar w:fldCharType="begin"/>
        </w:r>
        <w:r w:rsidRPr="00F8757B">
          <w:rPr>
            <w:rFonts w:ascii="Tahoma" w:hAnsi="Tahoma" w:cs="Tahoma"/>
            <w:sz w:val="20"/>
            <w:szCs w:val="20"/>
          </w:rPr>
          <w:instrText>PAGE   \* MERGEFORMAT</w:instrText>
        </w:r>
        <w:r w:rsidRPr="00F8757B">
          <w:rPr>
            <w:rFonts w:ascii="Tahoma" w:hAnsi="Tahoma" w:cs="Tahoma"/>
            <w:sz w:val="20"/>
            <w:szCs w:val="20"/>
          </w:rPr>
          <w:fldChar w:fldCharType="separate"/>
        </w:r>
        <w:r w:rsidR="000A5EA8" w:rsidRPr="000A5EA8">
          <w:rPr>
            <w:rFonts w:ascii="Tahoma" w:hAnsi="Tahoma" w:cs="Tahoma"/>
            <w:noProof/>
            <w:sz w:val="20"/>
            <w:szCs w:val="20"/>
            <w:lang w:val="fr-FR"/>
          </w:rPr>
          <w:t>III</w:t>
        </w:r>
        <w:r w:rsidRPr="00F8757B">
          <w:rPr>
            <w:rFonts w:ascii="Tahoma" w:hAnsi="Tahoma" w:cs="Tahoma"/>
            <w:sz w:val="20"/>
            <w:szCs w:val="20"/>
          </w:rPr>
          <w:fldChar w:fldCharType="end"/>
        </w:r>
      </w:p>
    </w:sdtContent>
  </w:sdt>
  <w:p w:rsidR="00A53C3A" w:rsidRDefault="00A53C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168"/>
    <w:multiLevelType w:val="hybridMultilevel"/>
    <w:tmpl w:val="5D061898"/>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774210"/>
    <w:multiLevelType w:val="hybridMultilevel"/>
    <w:tmpl w:val="2F960D92"/>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6ED1EE4"/>
    <w:multiLevelType w:val="hybridMultilevel"/>
    <w:tmpl w:val="976A2BBA"/>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5E5541B"/>
    <w:multiLevelType w:val="hybridMultilevel"/>
    <w:tmpl w:val="8F8EC7B4"/>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4A7B11C1"/>
    <w:multiLevelType w:val="hybridMultilevel"/>
    <w:tmpl w:val="B52E2098"/>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FE0648C"/>
    <w:multiLevelType w:val="hybridMultilevel"/>
    <w:tmpl w:val="613C9CBC"/>
    <w:lvl w:ilvl="0" w:tplc="6B24C8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4A"/>
    <w:rsid w:val="000A5EA8"/>
    <w:rsid w:val="000E71E7"/>
    <w:rsid w:val="0020728E"/>
    <w:rsid w:val="00280DCC"/>
    <w:rsid w:val="00293354"/>
    <w:rsid w:val="002C1B14"/>
    <w:rsid w:val="003974BE"/>
    <w:rsid w:val="00484B06"/>
    <w:rsid w:val="00600E40"/>
    <w:rsid w:val="00636ED9"/>
    <w:rsid w:val="00735E7D"/>
    <w:rsid w:val="008B5B53"/>
    <w:rsid w:val="008C594A"/>
    <w:rsid w:val="00931EF8"/>
    <w:rsid w:val="00936C38"/>
    <w:rsid w:val="009777C4"/>
    <w:rsid w:val="00A145AA"/>
    <w:rsid w:val="00A53C3A"/>
    <w:rsid w:val="00A6402B"/>
    <w:rsid w:val="00AC57BF"/>
    <w:rsid w:val="00BA0F0F"/>
    <w:rsid w:val="00D43687"/>
    <w:rsid w:val="00E45D35"/>
    <w:rsid w:val="00F57A00"/>
    <w:rsid w:val="00F76E88"/>
    <w:rsid w:val="00F87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82258"/>
  <w15:chartTrackingRefBased/>
  <w15:docId w15:val="{ED39F120-76CB-4DA3-B4DA-D2C34A68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C594A"/>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C1B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C1B14"/>
    <w:rPr>
      <w:sz w:val="20"/>
      <w:szCs w:val="20"/>
    </w:rPr>
  </w:style>
  <w:style w:type="character" w:styleId="Appelnotedebasdep">
    <w:name w:val="footnote reference"/>
    <w:basedOn w:val="Policepardfaut"/>
    <w:uiPriority w:val="99"/>
    <w:semiHidden/>
    <w:unhideWhenUsed/>
    <w:rsid w:val="002C1B14"/>
    <w:rPr>
      <w:vertAlign w:val="superscript"/>
    </w:rPr>
  </w:style>
  <w:style w:type="character" w:styleId="Lienhypertexte">
    <w:name w:val="Hyperlink"/>
    <w:basedOn w:val="Policepardfaut"/>
    <w:uiPriority w:val="99"/>
    <w:semiHidden/>
    <w:unhideWhenUsed/>
    <w:rsid w:val="002C1B14"/>
    <w:rPr>
      <w:color w:val="0000FF"/>
      <w:u w:val="single"/>
    </w:rPr>
  </w:style>
  <w:style w:type="paragraph" w:styleId="Paragraphedeliste">
    <w:name w:val="List Paragraph"/>
    <w:basedOn w:val="Normal"/>
    <w:uiPriority w:val="34"/>
    <w:qFormat/>
    <w:rsid w:val="0020728E"/>
    <w:pPr>
      <w:ind w:left="720"/>
      <w:contextualSpacing/>
    </w:pPr>
  </w:style>
  <w:style w:type="paragraph" w:styleId="En-tte">
    <w:name w:val="header"/>
    <w:basedOn w:val="Normal"/>
    <w:link w:val="En-tteCar"/>
    <w:uiPriority w:val="99"/>
    <w:unhideWhenUsed/>
    <w:rsid w:val="00F8757B"/>
    <w:pPr>
      <w:tabs>
        <w:tab w:val="center" w:pos="4320"/>
        <w:tab w:val="right" w:pos="8640"/>
      </w:tabs>
      <w:spacing w:after="0" w:line="240" w:lineRule="auto"/>
    </w:pPr>
  </w:style>
  <w:style w:type="character" w:customStyle="1" w:styleId="En-tteCar">
    <w:name w:val="En-tête Car"/>
    <w:basedOn w:val="Policepardfaut"/>
    <w:link w:val="En-tte"/>
    <w:uiPriority w:val="99"/>
    <w:rsid w:val="00F8757B"/>
  </w:style>
  <w:style w:type="paragraph" w:styleId="Pieddepage">
    <w:name w:val="footer"/>
    <w:basedOn w:val="Normal"/>
    <w:link w:val="PieddepageCar"/>
    <w:uiPriority w:val="99"/>
    <w:unhideWhenUsed/>
    <w:rsid w:val="00F8757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87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85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C46F7-C6B9-46ED-B85D-7A061FCC4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4087</TotalTime>
  <Pages>6</Pages>
  <Words>1064</Words>
  <Characters>5855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8</cp:revision>
  <cp:lastPrinted>2016-03-02T21:16:00Z</cp:lastPrinted>
  <dcterms:created xsi:type="dcterms:W3CDTF">2016-02-29T01:11:00Z</dcterms:created>
  <dcterms:modified xsi:type="dcterms:W3CDTF">2016-03-09T22:26:00Z</dcterms:modified>
</cp:coreProperties>
</file>